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ind w:left="0" w:leftChars="0" w:firstLine="0" w:firstLineChars="0"/>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_____________</w:t>
      </w:r>
      <w:r>
        <w:rPr>
          <w:rFonts w:hint="eastAsia" w:ascii="方正小标宋_GBK" w:hAnsi="方正小标宋_GBK" w:eastAsia="方正小标宋_GBK" w:cs="方正小标宋_GBK"/>
          <w:sz w:val="44"/>
          <w:szCs w:val="44"/>
          <w:lang w:eastAsia="zh-CN"/>
        </w:rPr>
        <w:t>调解收费标准（参考模板）</w:t>
      </w:r>
    </w:p>
    <w:p>
      <w:pPr>
        <w:pStyle w:val="15"/>
        <w:ind w:left="0" w:leftChars="0" w:firstLine="0" w:firstLineChars="0"/>
        <w:rPr>
          <w:rFonts w:hint="eastAsia"/>
          <w:b w:val="0"/>
          <w:bCs w:val="0"/>
          <w:color w:val="000000" w:themeColor="text1"/>
          <w:sz w:val="32"/>
          <w:szCs w:val="32"/>
          <w:highlight w:val="none"/>
          <w:lang w:eastAsia="zh-CN"/>
          <w14:textFill>
            <w14:solidFill>
              <w14:schemeClr w14:val="tx1"/>
            </w14:solidFill>
          </w14:textFill>
        </w:rPr>
      </w:pPr>
    </w:p>
    <w:p>
      <w:pPr>
        <w:tabs>
          <w:tab w:val="left" w:pos="0"/>
        </w:tabs>
        <w:snapToGrid w:val="0"/>
        <w:spacing w:line="560" w:lineRule="exact"/>
        <w:ind w:firstLine="611" w:firstLineChars="191"/>
        <w:jc w:val="left"/>
        <w:rPr>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kern w:val="0"/>
          <w:sz w:val="32"/>
          <w:szCs w:val="32"/>
          <w14:textFill>
            <w14:solidFill>
              <w14:schemeClr w14:val="tx1"/>
            </w14:solidFill>
          </w14:textFill>
        </w:rPr>
        <w:t xml:space="preserve">第一条 </w:t>
      </w:r>
      <w:r>
        <w:rPr>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为了规范调解收费行为，维护当事人合法权益和调解正常秩序，保障</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（以下简称“本单位”）</w:t>
      </w:r>
      <w:r>
        <w:rPr>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合规运营和长远发展，</w:t>
      </w:r>
      <w:r>
        <w:rPr>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遵循公开、公平、合理、诚实、守信的原则</w:t>
      </w:r>
      <w:r>
        <w:rPr>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制定本</w:t>
      </w:r>
      <w:r>
        <w:rPr>
          <w:rFonts w:hint="eastAsia" w:eastAsia="仿宋_GB2312" w:cs="Times New Roman"/>
          <w:b w:val="0"/>
          <w:bCs w:val="0"/>
          <w:color w:val="000000" w:themeColor="text1"/>
          <w:sz w:val="32"/>
          <w:szCs w:val="32"/>
          <w:highlight w:val="none"/>
          <w:lang w:eastAsia="zh-CN"/>
          <w14:textFill>
            <w14:solidFill>
              <w14:schemeClr w14:val="tx1"/>
            </w14:solidFill>
          </w14:textFill>
        </w:rPr>
        <w:t>标准</w:t>
      </w:r>
      <w:r>
        <w:rPr>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w:t>
      </w:r>
    </w:p>
    <w:p>
      <w:pPr>
        <w:tabs>
          <w:tab w:val="left" w:pos="0"/>
        </w:tabs>
        <w:snapToGrid w:val="0"/>
        <w:spacing w:line="560" w:lineRule="exact"/>
        <w:ind w:firstLine="611" w:firstLineChars="191"/>
        <w:jc w:val="left"/>
        <w:rPr>
          <w:rFonts w:hint="eastAsia" w:eastAsia="仿宋_GB2312"/>
          <w:b w:val="0"/>
          <w:bCs w:val="0"/>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kern w:val="0"/>
          <w:sz w:val="32"/>
          <w:szCs w:val="32"/>
          <w14:textFill>
            <w14:solidFill>
              <w14:schemeClr w14:val="tx1"/>
            </w14:solidFill>
          </w14:textFill>
        </w:rPr>
        <w:t>第二条</w:t>
      </w:r>
      <w:r>
        <w:rPr>
          <w:rFonts w:hint="eastAsia" w:ascii="方正黑体_GBK" w:hAnsi="方正黑体_GBK" w:eastAsia="方正黑体_GBK" w:cs="方正黑体_GBK"/>
          <w:b w:val="0"/>
          <w:bCs w:val="0"/>
          <w:color w:val="000000" w:themeColor="text1"/>
          <w:kern w:val="0"/>
          <w:sz w:val="32"/>
          <w:szCs w:val="32"/>
          <w:lang w:val="en-US" w:eastAsia="zh-CN"/>
          <w14:textFill>
            <w14:solidFill>
              <w14:schemeClr w14:val="tx1"/>
            </w14:solidFill>
          </w14:textFill>
        </w:rPr>
        <w:t xml:space="preserve"> </w:t>
      </w:r>
      <w:r>
        <w:rPr>
          <w:rFonts w:hint="eastAsia" w:eastAsia="仿宋_GB2312"/>
          <w:b w:val="0"/>
          <w:bCs w:val="0"/>
          <w:color w:val="000000" w:themeColor="text1"/>
          <w:sz w:val="32"/>
          <w:szCs w:val="32"/>
          <w:highlight w:val="none"/>
          <w14:textFill>
            <w14:solidFill>
              <w14:schemeClr w14:val="tx1"/>
            </w14:solidFill>
          </w14:textFill>
        </w:rPr>
        <w:t>调解费用的缴纳一般由双方当事人平均分担，当事人有约定的从其约定。</w:t>
      </w:r>
    </w:p>
    <w:p>
      <w:pPr>
        <w:tabs>
          <w:tab w:val="left" w:pos="0"/>
        </w:tabs>
        <w:snapToGrid w:val="0"/>
        <w:spacing w:line="560" w:lineRule="exact"/>
        <w:ind w:firstLine="611" w:firstLineChars="191"/>
        <w:jc w:val="left"/>
        <w:rPr>
          <w:rFonts w:hint="eastAsia" w:eastAsia="仿宋_GB2312"/>
          <w:b w:val="0"/>
          <w:bCs w:val="0"/>
          <w:color w:val="000000" w:themeColor="text1"/>
          <w:sz w:val="32"/>
          <w:szCs w:val="32"/>
          <w:highlight w:val="none"/>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highlight w:val="none"/>
          <w:lang w:eastAsia="zh-CN"/>
          <w14:textFill>
            <w14:solidFill>
              <w14:schemeClr w14:val="tx1"/>
            </w14:solidFill>
          </w14:textFill>
        </w:rPr>
        <w:t>三</w:t>
      </w: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 xml:space="preserve">条 </w:t>
      </w:r>
      <w:r>
        <w:rPr>
          <w:rFonts w:hint="eastAsia" w:eastAsia="仿宋_GB2312"/>
          <w:b w:val="0"/>
          <w:bCs w:val="0"/>
          <w:color w:val="000000" w:themeColor="text1"/>
          <w:sz w:val="32"/>
          <w:szCs w:val="32"/>
          <w:highlight w:val="none"/>
          <w14:textFill>
            <w14:solidFill>
              <w14:schemeClr w14:val="tx1"/>
            </w14:solidFill>
          </w14:textFill>
        </w:rPr>
        <w:t>本单位在受理商事调解案件后，应当在向当事人发出缴费通知前</w:t>
      </w:r>
      <w:r>
        <w:rPr>
          <w:rFonts w:hint="eastAsia" w:eastAsia="仿宋_GB2312"/>
          <w:b w:val="0"/>
          <w:bCs w:val="0"/>
          <w:color w:val="000000" w:themeColor="text1"/>
          <w:sz w:val="32"/>
          <w:szCs w:val="32"/>
          <w:highlight w:val="none"/>
          <w:lang w:eastAsia="zh-CN"/>
          <w14:textFill>
            <w14:solidFill>
              <w14:schemeClr w14:val="tx1"/>
            </w14:solidFill>
          </w14:textFill>
        </w:rPr>
        <w:t>（</w:t>
      </w:r>
      <w:r>
        <w:rPr>
          <w:rFonts w:hint="eastAsia" w:eastAsia="仿宋_GB2312"/>
          <w:b w:val="0"/>
          <w:bCs w:val="0"/>
          <w:color w:val="000000" w:themeColor="text1"/>
          <w:sz w:val="32"/>
          <w:szCs w:val="32"/>
          <w:highlight w:val="none"/>
          <w14:textFill>
            <w14:solidFill>
              <w14:schemeClr w14:val="tx1"/>
            </w14:solidFill>
          </w14:textFill>
        </w:rPr>
        <w:t>或同时</w:t>
      </w:r>
      <w:r>
        <w:rPr>
          <w:rFonts w:hint="eastAsia" w:eastAsia="仿宋_GB2312"/>
          <w:b w:val="0"/>
          <w:bCs w:val="0"/>
          <w:color w:val="000000" w:themeColor="text1"/>
          <w:sz w:val="32"/>
          <w:szCs w:val="32"/>
          <w:highlight w:val="none"/>
          <w:lang w:eastAsia="zh-CN"/>
          <w14:textFill>
            <w14:solidFill>
              <w14:schemeClr w14:val="tx1"/>
            </w14:solidFill>
          </w14:textFill>
        </w:rPr>
        <w:t>）</w:t>
      </w:r>
      <w:r>
        <w:rPr>
          <w:rFonts w:hint="eastAsia" w:eastAsia="仿宋_GB2312"/>
          <w:b w:val="0"/>
          <w:bCs w:val="0"/>
          <w:color w:val="000000" w:themeColor="text1"/>
          <w:sz w:val="32"/>
          <w:szCs w:val="32"/>
          <w:highlight w:val="none"/>
          <w14:textFill>
            <w14:solidFill>
              <w14:schemeClr w14:val="tx1"/>
            </w14:solidFill>
          </w14:textFill>
        </w:rPr>
        <w:t>，向当事人充分释明收费标准和计费方式，并与当事人签订收费协议。收费协议内容包括收费项目和标准、缴付和结算方式、双方权利义务、争议解决办法等</w:t>
      </w:r>
      <w:r>
        <w:rPr>
          <w:rFonts w:hint="eastAsia" w:eastAsia="仿宋_GB2312"/>
          <w:b w:val="0"/>
          <w:bCs w:val="0"/>
          <w:color w:val="000000" w:themeColor="text1"/>
          <w:sz w:val="32"/>
          <w:szCs w:val="32"/>
          <w:highlight w:val="none"/>
          <w:lang w:eastAsia="zh-CN"/>
          <w14:textFill>
            <w14:solidFill>
              <w14:schemeClr w14:val="tx1"/>
            </w14:solidFill>
          </w14:textFill>
        </w:rPr>
        <w:t>。</w:t>
      </w:r>
    </w:p>
    <w:p>
      <w:pPr>
        <w:tabs>
          <w:tab w:val="left" w:pos="0"/>
        </w:tabs>
        <w:snapToGrid w:val="0"/>
        <w:spacing w:line="560" w:lineRule="exact"/>
        <w:ind w:firstLine="611" w:firstLineChars="191"/>
        <w:jc w:val="left"/>
        <w:rPr>
          <w:rFonts w:hint="eastAsia" w:eastAsia="仿宋_GB2312"/>
          <w:b w:val="0"/>
          <w:bCs w:val="0"/>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 xml:space="preserve">第四条 </w:t>
      </w:r>
      <w:r>
        <w:rPr>
          <w:rFonts w:hint="eastAsia" w:eastAsia="仿宋_GB2312"/>
          <w:b w:val="0"/>
          <w:bCs w:val="0"/>
          <w:color w:val="000000" w:themeColor="text1"/>
          <w:sz w:val="32"/>
          <w:szCs w:val="32"/>
          <w:highlight w:val="none"/>
          <w14:textFill>
            <w14:solidFill>
              <w14:schemeClr w14:val="tx1"/>
            </w14:solidFill>
          </w14:textFill>
        </w:rPr>
        <w:t>本单位</w:t>
      </w:r>
      <w:r>
        <w:rPr>
          <w:rFonts w:hint="eastAsia" w:eastAsia="仿宋_GB2312"/>
          <w:b w:val="0"/>
          <w:bCs w:val="0"/>
          <w:color w:val="000000" w:themeColor="text1"/>
          <w:sz w:val="32"/>
          <w:szCs w:val="32"/>
          <w:highlight w:val="none"/>
          <w:lang w:eastAsia="zh-CN"/>
          <w14:textFill>
            <w14:solidFill>
              <w14:schemeClr w14:val="tx1"/>
            </w14:solidFill>
          </w14:textFill>
        </w:rPr>
        <w:t>的收费</w:t>
      </w:r>
      <w:r>
        <w:rPr>
          <w:rFonts w:hint="eastAsia" w:eastAsia="仿宋_GB2312"/>
          <w:b w:val="0"/>
          <w:bCs w:val="0"/>
          <w:color w:val="000000" w:themeColor="text1"/>
          <w:sz w:val="32"/>
          <w:szCs w:val="32"/>
          <w:highlight w:val="none"/>
          <w14:textFill>
            <w14:solidFill>
              <w14:schemeClr w14:val="tx1"/>
            </w14:solidFill>
          </w14:textFill>
        </w:rPr>
        <w:t>标准</w:t>
      </w:r>
      <w:r>
        <w:rPr>
          <w:rFonts w:hint="eastAsia" w:eastAsia="仿宋_GB2312"/>
          <w:b w:val="0"/>
          <w:bCs w:val="0"/>
          <w:color w:val="000000" w:themeColor="text1"/>
          <w:sz w:val="32"/>
          <w:szCs w:val="32"/>
          <w:highlight w:val="none"/>
          <w:lang w:eastAsia="zh-CN"/>
          <w14:textFill>
            <w14:solidFill>
              <w14:schemeClr w14:val="tx1"/>
            </w14:solidFill>
          </w14:textFill>
        </w:rPr>
        <w:t>应当</w:t>
      </w:r>
      <w:r>
        <w:rPr>
          <w:rFonts w:hint="eastAsia" w:eastAsia="仿宋_GB2312"/>
          <w:b w:val="0"/>
          <w:bCs w:val="0"/>
          <w:color w:val="000000" w:themeColor="text1"/>
          <w:sz w:val="32"/>
          <w:szCs w:val="32"/>
          <w:highlight w:val="none"/>
          <w14:textFill>
            <w14:solidFill>
              <w14:schemeClr w14:val="tx1"/>
            </w14:solidFill>
          </w14:textFill>
        </w:rPr>
        <w:t>综合考虑商事争议具体情况、组织运行成本、商事调解员合理报酬等因素，按照公平、合理的原则制定</w:t>
      </w:r>
      <w:r>
        <w:rPr>
          <w:rFonts w:hint="eastAsia" w:eastAsia="仿宋_GB2312"/>
          <w:b w:val="0"/>
          <w:bCs w:val="0"/>
          <w:color w:val="000000" w:themeColor="text1"/>
          <w:sz w:val="32"/>
          <w:szCs w:val="32"/>
          <w:highlight w:val="none"/>
          <w:lang w:eastAsia="zh-CN"/>
          <w14:textFill>
            <w14:solidFill>
              <w14:schemeClr w14:val="tx1"/>
            </w14:solidFill>
          </w14:textFill>
        </w:rPr>
        <w:t>，为当事人提供高效、优质、便捷的商事调解服务</w:t>
      </w:r>
      <w:r>
        <w:rPr>
          <w:rFonts w:hint="eastAsia" w:eastAsia="仿宋_GB2312"/>
          <w:b w:val="0"/>
          <w:bCs w:val="0"/>
          <w:color w:val="000000" w:themeColor="text1"/>
          <w:sz w:val="32"/>
          <w:szCs w:val="32"/>
          <w:highlight w:val="none"/>
          <w14:textFill>
            <w14:solidFill>
              <w14:schemeClr w14:val="tx1"/>
            </w14:solidFill>
          </w14:textFill>
        </w:rPr>
        <w:t>。</w:t>
      </w:r>
    </w:p>
    <w:p>
      <w:pPr>
        <w:tabs>
          <w:tab w:val="left" w:pos="0"/>
        </w:tabs>
        <w:snapToGrid w:val="0"/>
        <w:spacing w:line="560" w:lineRule="exact"/>
        <w:ind w:firstLine="611" w:firstLineChars="191"/>
        <w:jc w:val="left"/>
        <w:rPr>
          <w:rFonts w:hint="eastAsia" w:eastAsia="仿宋_GB2312"/>
          <w:b w:val="0"/>
          <w:bCs w:val="0"/>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第五条 </w:t>
      </w:r>
      <w:r>
        <w:rPr>
          <w:rFonts w:hint="eastAsia" w:eastAsia="仿宋_GB2312"/>
          <w:b w:val="0"/>
          <w:bCs w:val="0"/>
          <w:color w:val="000000" w:themeColor="text1"/>
          <w:sz w:val="32"/>
          <w:szCs w:val="32"/>
          <w:highlight w:val="none"/>
          <w14:textFill>
            <w14:solidFill>
              <w14:schemeClr w14:val="tx1"/>
            </w14:solidFill>
          </w14:textFill>
        </w:rPr>
        <w:t>调解费用包括调解登记费、调解服务费。</w:t>
      </w:r>
      <w:r>
        <w:rPr>
          <w:rFonts w:hint="eastAsia" w:eastAsia="仿宋_GB2312"/>
          <w:b w:val="0"/>
          <w:bCs w:val="0"/>
          <w:color w:val="000000" w:themeColor="text1"/>
          <w:sz w:val="32"/>
          <w:szCs w:val="32"/>
          <w:highlight w:val="none"/>
          <w:lang w:eastAsia="zh-CN"/>
          <w14:textFill>
            <w14:solidFill>
              <w14:schemeClr w14:val="tx1"/>
            </w14:solidFill>
          </w14:textFill>
        </w:rPr>
        <w:t>本单位承诺不含有公开收费标准以外的任何隐形收费，禁止商事调解员私自收费，</w:t>
      </w:r>
      <w:r>
        <w:rPr>
          <w:rFonts w:hint="eastAsia" w:eastAsia="仿宋_GB2312"/>
          <w:b w:val="0"/>
          <w:bCs w:val="0"/>
          <w:color w:val="000000" w:themeColor="text1"/>
          <w:sz w:val="32"/>
          <w:szCs w:val="32"/>
          <w:highlight w:val="none"/>
          <w14:textFill>
            <w14:solidFill>
              <w14:schemeClr w14:val="tx1"/>
            </w14:solidFill>
          </w14:textFill>
        </w:rPr>
        <w:t>严禁以外部中介费或业务提成等</w:t>
      </w:r>
      <w:r>
        <w:rPr>
          <w:rFonts w:hint="eastAsia" w:eastAsia="仿宋_GB2312"/>
          <w:b w:val="0"/>
          <w:bCs w:val="0"/>
          <w:color w:val="000000" w:themeColor="text1"/>
          <w:sz w:val="32"/>
          <w:szCs w:val="32"/>
          <w:highlight w:val="none"/>
          <w:lang w:eastAsia="zh-CN"/>
          <w14:textFill>
            <w14:solidFill>
              <w14:schemeClr w14:val="tx1"/>
            </w14:solidFill>
          </w14:textFill>
        </w:rPr>
        <w:t>名义</w:t>
      </w:r>
      <w:r>
        <w:rPr>
          <w:rFonts w:hint="eastAsia" w:eastAsia="仿宋_GB2312"/>
          <w:b w:val="0"/>
          <w:bCs w:val="0"/>
          <w:color w:val="000000" w:themeColor="text1"/>
          <w:sz w:val="32"/>
          <w:szCs w:val="32"/>
          <w:highlight w:val="none"/>
          <w14:textFill>
            <w14:solidFill>
              <w14:schemeClr w14:val="tx1"/>
            </w14:solidFill>
          </w14:textFill>
        </w:rPr>
        <w:t>乱收费。</w:t>
      </w:r>
    </w:p>
    <w:p>
      <w:pPr>
        <w:tabs>
          <w:tab w:val="left" w:pos="0"/>
        </w:tabs>
        <w:snapToGrid w:val="0"/>
        <w:spacing w:line="560" w:lineRule="exact"/>
        <w:ind w:firstLine="611" w:firstLineChars="191"/>
        <w:jc w:val="left"/>
        <w:rPr>
          <w:rFonts w:eastAsia="仿宋_GB2312"/>
          <w:b w:val="0"/>
          <w:bCs w:val="0"/>
          <w:color w:val="000000" w:themeColor="text1"/>
          <w:sz w:val="32"/>
          <w:szCs w:val="32"/>
          <w:highlight w:val="none"/>
          <w14:textFill>
            <w14:solidFill>
              <w14:schemeClr w14:val="tx1"/>
            </w14:solidFill>
          </w14:textFill>
        </w:rPr>
      </w:pPr>
      <w:r>
        <w:rPr>
          <w:rFonts w:hint="eastAsia" w:ascii="仿宋_GB2312" w:eastAsia="仿宋_GB2312"/>
          <w:b w:val="0"/>
          <w:bCs w:val="0"/>
          <w:color w:val="000000" w:themeColor="text1"/>
          <w:sz w:val="32"/>
          <w:szCs w:val="32"/>
          <w14:textFill>
            <w14:solidFill>
              <w14:schemeClr w14:val="tx1"/>
            </w14:solidFill>
          </w14:textFill>
        </w:rPr>
        <w:t>【说明】</w:t>
      </w:r>
      <w:r>
        <w:rPr>
          <w:rFonts w:hint="eastAsia" w:ascii="仿宋_GB2312" w:eastAsia="仿宋_GB2312"/>
          <w:b w:val="0"/>
          <w:bCs w:val="0"/>
          <w:color w:val="000000" w:themeColor="text1"/>
          <w:sz w:val="32"/>
          <w:szCs w:val="32"/>
          <w:lang w:val="en-US" w:eastAsia="zh-CN"/>
          <w14:textFill>
            <w14:solidFill>
              <w14:schemeClr w14:val="tx1"/>
            </w14:solidFill>
          </w14:textFill>
        </w:rPr>
        <w:t xml:space="preserve"> </w:t>
      </w:r>
      <w:r>
        <w:rPr>
          <w:rFonts w:hint="eastAsia" w:ascii="仿宋_GB2312" w:eastAsia="仿宋_GB2312"/>
          <w:b w:val="0"/>
          <w:bCs w:val="0"/>
          <w:color w:val="000000" w:themeColor="text1"/>
          <w:sz w:val="32"/>
          <w:szCs w:val="32"/>
          <w14:textFill>
            <w14:solidFill>
              <w14:schemeClr w14:val="tx1"/>
            </w14:solidFill>
          </w14:textFill>
        </w:rPr>
        <w:t>本条规定了</w:t>
      </w:r>
      <w:r>
        <w:rPr>
          <w:rFonts w:hint="eastAsia" w:ascii="仿宋_GB2312" w:eastAsia="仿宋_GB2312"/>
          <w:b w:val="0"/>
          <w:bCs w:val="0"/>
          <w:color w:val="000000" w:themeColor="text1"/>
          <w:sz w:val="32"/>
          <w:szCs w:val="32"/>
          <w:lang w:eastAsia="zh-CN"/>
          <w14:textFill>
            <w14:solidFill>
              <w14:schemeClr w14:val="tx1"/>
            </w14:solidFill>
          </w14:textFill>
        </w:rPr>
        <w:t>调解费用组成部分，可根据实际情况列示，但收费项目设置应当清晰明确，严禁以外部中介费或业务提成等名义乱收费，应明确承诺不含有公开收费标准以外的任何隐形收费，禁止商事调解员私自收费。</w:t>
      </w:r>
    </w:p>
    <w:p>
      <w:pPr>
        <w:keepNext w:val="0"/>
        <w:keepLines w:val="0"/>
        <w:pageBreakBefore w:val="0"/>
        <w:widowControl w:val="0"/>
        <w:tabs>
          <w:tab w:val="left" w:pos="0"/>
        </w:tabs>
        <w:kinsoku/>
        <w:wordWrap/>
        <w:overflowPunct/>
        <w:topLinePunct w:val="0"/>
        <w:autoSpaceDE/>
        <w:autoSpaceDN/>
        <w:bidi w:val="0"/>
        <w:adjustRightInd/>
        <w:snapToGrid w:val="0"/>
        <w:spacing w:line="560" w:lineRule="exact"/>
        <w:ind w:firstLine="640" w:firstLineChars="200"/>
        <w:jc w:val="left"/>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 xml:space="preserve">第六条 </w:t>
      </w:r>
      <w:r>
        <w:rPr>
          <w:rFonts w:hint="eastAsia" w:eastAsia="仿宋_GB2312"/>
          <w:b w:val="0"/>
          <w:bCs w:val="0"/>
          <w:color w:val="000000" w:themeColor="text1"/>
          <w:sz w:val="32"/>
          <w:szCs w:val="32"/>
          <w:highlight w:val="none"/>
          <w:lang w:val="en-US" w:eastAsia="zh-CN"/>
          <w14:textFill>
            <w14:solidFill>
              <w14:schemeClr w14:val="tx1"/>
            </w14:solidFill>
          </w14:textFill>
        </w:rPr>
        <w:t>调解登记费</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指本单位受理商事争议案件而收取的用于对调解申请的审查、案件登记等费用。</w:t>
      </w:r>
    </w:p>
    <w:p>
      <w:pPr>
        <w:tabs>
          <w:tab w:val="left" w:pos="0"/>
        </w:tabs>
        <w:snapToGrid w:val="0"/>
        <w:spacing w:line="560" w:lineRule="exact"/>
        <w:ind w:firstLine="611" w:firstLineChars="191"/>
        <w:jc w:val="left"/>
        <w:rPr>
          <w:rFonts w:hint="eastAsia" w:eastAsia="仿宋_GB2312" w:cs="Times New Roman"/>
          <w:b w:val="0"/>
          <w:bCs w:val="0"/>
          <w:color w:val="000000" w:themeColor="text1"/>
          <w:sz w:val="32"/>
          <w:szCs w:val="32"/>
          <w:highlight w:val="none"/>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lang w:bidi="ar"/>
          <w14:textFill>
            <w14:solidFill>
              <w14:schemeClr w14:val="tx1"/>
            </w14:solidFill>
          </w14:textFill>
        </w:rPr>
        <w:t>第七条</w:t>
      </w: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 xml:space="preserve"> </w:t>
      </w:r>
      <w:r>
        <w:rPr>
          <w:rFonts w:hint="eastAsia" w:eastAsia="仿宋_GB2312"/>
          <w:b w:val="0"/>
          <w:bCs w:val="0"/>
          <w:color w:val="000000" w:themeColor="text1"/>
          <w:sz w:val="32"/>
          <w:szCs w:val="32"/>
          <w:highlight w:val="none"/>
          <w14:textFill>
            <w14:solidFill>
              <w14:schemeClr w14:val="tx1"/>
            </w14:solidFill>
          </w14:textFill>
        </w:rPr>
        <w:t>调解服务费</w:t>
      </w:r>
      <w:r>
        <w:rPr>
          <w:rFonts w:hint="eastAsia" w:eastAsia="仿宋_GB2312"/>
          <w:b w:val="0"/>
          <w:bCs w:val="0"/>
          <w:color w:val="000000" w:themeColor="text1"/>
          <w:sz w:val="32"/>
          <w:szCs w:val="32"/>
          <w:highlight w:val="none"/>
          <w:lang w:eastAsia="zh-CN"/>
          <w14:textFill>
            <w14:solidFill>
              <w14:schemeClr w14:val="tx1"/>
            </w14:solidFill>
          </w14:textFill>
        </w:rPr>
        <w:t>指当事人接受本单位及其调解员所提供的争议调解服务而应当支付的对价，包含调解员报酬和</w:t>
      </w:r>
      <w:r>
        <w:rPr>
          <w:rFonts w:hint="eastAsia" w:eastAsia="仿宋_GB2312"/>
          <w:b w:val="0"/>
          <w:bCs w:val="0"/>
          <w:color w:val="000000" w:themeColor="text1"/>
          <w:sz w:val="32"/>
          <w:szCs w:val="32"/>
          <w:highlight w:val="none"/>
          <w14:textFill>
            <w14:solidFill>
              <w14:schemeClr w14:val="tx1"/>
            </w14:solidFill>
          </w14:textFill>
        </w:rPr>
        <w:t>案件管理费</w:t>
      </w:r>
      <w:r>
        <w:rPr>
          <w:rFonts w:hint="eastAsia" w:eastAsia="仿宋_GB2312"/>
          <w:b w:val="0"/>
          <w:bCs w:val="0"/>
          <w:color w:val="000000" w:themeColor="text1"/>
          <w:sz w:val="32"/>
          <w:szCs w:val="32"/>
          <w:highlight w:val="none"/>
          <w:lang w:eastAsia="zh-CN"/>
          <w14:textFill>
            <w14:solidFill>
              <w14:schemeClr w14:val="tx1"/>
            </w14:solidFill>
          </w14:textFill>
        </w:rPr>
        <w:t>等。</w:t>
      </w:r>
      <w:r>
        <w:rPr>
          <w:rFonts w:hint="eastAsia" w:eastAsia="仿宋_GB2312"/>
          <w:b w:val="0"/>
          <w:bCs w:val="0"/>
          <w:color w:val="000000" w:themeColor="text1"/>
          <w:sz w:val="32"/>
          <w:szCs w:val="32"/>
          <w:highlight w:val="none"/>
          <w14:textFill>
            <w14:solidFill>
              <w14:schemeClr w14:val="tx1"/>
            </w14:solidFill>
          </w14:textFill>
        </w:rPr>
        <w:t>案件管理费</w:t>
      </w:r>
      <w:r>
        <w:rPr>
          <w:rFonts w:hint="eastAsia" w:eastAsia="仿宋_GB2312"/>
          <w:b w:val="0"/>
          <w:bCs w:val="0"/>
          <w:color w:val="000000" w:themeColor="text1"/>
          <w:sz w:val="32"/>
          <w:szCs w:val="32"/>
          <w:highlight w:val="none"/>
          <w:lang w:eastAsia="zh-CN"/>
          <w14:textFill>
            <w14:solidFill>
              <w14:schemeClr w14:val="tx1"/>
            </w14:solidFill>
          </w14:textFill>
        </w:rPr>
        <w:t>包括但不限于案件秘书报酬、邮递费、通讯费、场地使用费、办公设备使用费等本单位为管理调解程序产生的由本单位收取的费用</w:t>
      </w:r>
      <w:r>
        <w:rPr>
          <w:rFonts w:hint="eastAsia" w:eastAsia="仿宋_GB2312" w:cs="Times New Roman"/>
          <w:b w:val="0"/>
          <w:bCs w:val="0"/>
          <w:color w:val="000000" w:themeColor="text1"/>
          <w:sz w:val="32"/>
          <w:szCs w:val="32"/>
          <w:highlight w:val="none"/>
          <w:lang w:eastAsia="zh-CN"/>
          <w14:textFill>
            <w14:solidFill>
              <w14:schemeClr w14:val="tx1"/>
            </w14:solidFill>
          </w14:textFill>
        </w:rPr>
        <w:t>。</w:t>
      </w:r>
    </w:p>
    <w:p>
      <w:pPr>
        <w:tabs>
          <w:tab w:val="left" w:pos="0"/>
        </w:tabs>
        <w:snapToGrid w:val="0"/>
        <w:spacing w:line="560" w:lineRule="exact"/>
        <w:ind w:firstLine="611" w:firstLineChars="191"/>
        <w:jc w:val="left"/>
        <w:rPr>
          <w:rFonts w:hint="eastAsia" w:eastAsia="仿宋_GB2312"/>
          <w:b w:val="0"/>
          <w:bCs w:val="0"/>
          <w:color w:val="000000" w:themeColor="text1"/>
          <w:sz w:val="32"/>
          <w:szCs w:val="32"/>
          <w:highlight w:val="none"/>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lang w:bidi="ar"/>
          <w14:textFill>
            <w14:solidFill>
              <w14:schemeClr w14:val="tx1"/>
            </w14:solidFill>
          </w14:textFill>
        </w:rPr>
        <w:t>第八条</w:t>
      </w: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 xml:space="preserve"> </w:t>
      </w:r>
      <w:r>
        <w:rPr>
          <w:rFonts w:hint="eastAsia" w:eastAsia="仿宋_GB2312"/>
          <w:b w:val="0"/>
          <w:bCs w:val="0"/>
          <w:color w:val="000000" w:themeColor="text1"/>
          <w:sz w:val="32"/>
          <w:szCs w:val="32"/>
          <w:highlight w:val="none"/>
          <w14:textFill>
            <w14:solidFill>
              <w14:schemeClr w14:val="tx1"/>
            </w14:solidFill>
          </w14:textFill>
        </w:rPr>
        <w:t>其他费用指除前</w:t>
      </w:r>
      <w:r>
        <w:rPr>
          <w:rFonts w:hint="eastAsia" w:eastAsia="仿宋_GB2312"/>
          <w:b w:val="0"/>
          <w:bCs w:val="0"/>
          <w:color w:val="000000" w:themeColor="text1"/>
          <w:sz w:val="32"/>
          <w:szCs w:val="32"/>
          <w:highlight w:val="none"/>
          <w:lang w:eastAsia="zh-CN"/>
          <w14:textFill>
            <w14:solidFill>
              <w14:schemeClr w14:val="tx1"/>
            </w14:solidFill>
          </w14:textFill>
        </w:rPr>
        <w:t>述</w:t>
      </w:r>
      <w:r>
        <w:rPr>
          <w:rFonts w:hint="eastAsia" w:eastAsia="仿宋_GB2312"/>
          <w:b w:val="0"/>
          <w:bCs w:val="0"/>
          <w:color w:val="000000" w:themeColor="text1"/>
          <w:sz w:val="32"/>
          <w:szCs w:val="32"/>
          <w:highlight w:val="none"/>
          <w14:textFill>
            <w14:solidFill>
              <w14:schemeClr w14:val="tx1"/>
            </w14:solidFill>
          </w14:textFill>
        </w:rPr>
        <w:t>所列费用外，按实际支出由当事人另行承担的费用</w:t>
      </w:r>
      <w:r>
        <w:rPr>
          <w:rFonts w:hint="eastAsia" w:eastAsia="仿宋_GB2312"/>
          <w:b w:val="0"/>
          <w:bCs w:val="0"/>
          <w:color w:val="000000" w:themeColor="text1"/>
          <w:sz w:val="32"/>
          <w:szCs w:val="32"/>
          <w:highlight w:val="none"/>
          <w:lang w:eastAsia="zh-CN"/>
          <w14:textFill>
            <w14:solidFill>
              <w14:schemeClr w14:val="tx1"/>
            </w14:solidFill>
          </w14:textFill>
        </w:rPr>
        <w:t>，</w:t>
      </w:r>
      <w:r>
        <w:rPr>
          <w:rFonts w:hint="eastAsia" w:eastAsia="仿宋_GB2312" w:cs="Times New Roman"/>
          <w:b w:val="0"/>
          <w:bCs w:val="0"/>
          <w:color w:val="000000" w:themeColor="text1"/>
          <w:sz w:val="32"/>
          <w:szCs w:val="32"/>
          <w:highlight w:val="none"/>
          <w:lang w:eastAsia="zh-CN"/>
          <w14:textFill>
            <w14:solidFill>
              <w14:schemeClr w14:val="tx1"/>
            </w14:solidFill>
          </w14:textFill>
        </w:rPr>
        <w:t>费用</w:t>
      </w:r>
      <w:r>
        <w:rPr>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范围</w:t>
      </w:r>
      <w:r>
        <w:rPr>
          <w:rFonts w:hint="eastAsia" w:eastAsia="仿宋_GB2312" w:cs="Times New Roman"/>
          <w:b w:val="0"/>
          <w:bCs w:val="0"/>
          <w:color w:val="000000" w:themeColor="text1"/>
          <w:sz w:val="32"/>
          <w:szCs w:val="32"/>
          <w:highlight w:val="none"/>
          <w:lang w:eastAsia="zh-CN"/>
          <w14:textFill>
            <w14:solidFill>
              <w14:schemeClr w14:val="tx1"/>
            </w14:solidFill>
          </w14:textFill>
        </w:rPr>
        <w:t>包括：</w:t>
      </w:r>
    </w:p>
    <w:p>
      <w:pPr>
        <w:numPr>
          <w:ilvl w:val="0"/>
          <w:numId w:val="1"/>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应当事人要求或调解需要而产生的专家咨询、法律查明、司法鉴定、文书翻译、邀请证人等费用；</w:t>
      </w:r>
    </w:p>
    <w:p>
      <w:pPr>
        <w:numPr>
          <w:ilvl w:val="0"/>
          <w:numId w:val="1"/>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应当事人要求，为推动调解产生的场所、交通、住宿等费用；</w:t>
      </w:r>
    </w:p>
    <w:p>
      <w:pPr>
        <w:numPr>
          <w:ilvl w:val="0"/>
          <w:numId w:val="1"/>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办理调解与仲裁、诉讼、公证对接，申办调解协议司法确认或赋予强制执行效力公证，以及办理与调解相关的法律手续时，依照相关机构规定产生的费用；</w:t>
      </w:r>
    </w:p>
    <w:p>
      <w:pPr>
        <w:numPr>
          <w:ilvl w:val="0"/>
          <w:numId w:val="1"/>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其他应由当事人另行承担的合理费用。</w:t>
      </w:r>
    </w:p>
    <w:p>
      <w:pPr>
        <w:tabs>
          <w:tab w:val="left" w:pos="0"/>
        </w:tabs>
        <w:snapToGrid w:val="0"/>
        <w:spacing w:line="560" w:lineRule="exact"/>
        <w:ind w:firstLine="611" w:firstLineChars="191"/>
        <w:jc w:val="left"/>
        <w:rPr>
          <w:rFonts w:hint="eastAsia" w:eastAsia="仿宋_GB2312"/>
          <w:b w:val="0"/>
          <w:bCs w:val="0"/>
          <w:color w:val="000000" w:themeColor="text1"/>
          <w:sz w:val="32"/>
          <w:szCs w:val="32"/>
          <w:highlight w:val="none"/>
          <w:u w:val="none"/>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lang w:bidi="ar"/>
          <w14:textFill>
            <w14:solidFill>
              <w14:schemeClr w14:val="tx1"/>
            </w14:solidFill>
          </w14:textFill>
        </w:rPr>
        <w:t xml:space="preserve">第九条 </w:t>
      </w:r>
      <w:r>
        <w:rPr>
          <w:rFonts w:hint="eastAsia" w:eastAsia="仿宋_GB2312"/>
          <w:b w:val="0"/>
          <w:bCs w:val="0"/>
          <w:color w:val="000000" w:themeColor="text1"/>
          <w:sz w:val="32"/>
          <w:szCs w:val="32"/>
          <w:highlight w:val="none"/>
          <w:u w:val="none"/>
          <w14:textFill>
            <w14:solidFill>
              <w14:schemeClr w14:val="tx1"/>
            </w14:solidFill>
          </w14:textFill>
        </w:rPr>
        <w:t>当事人提出调解申请或同意本单位调解的，应当向本单位缴纳调解登记费。调解登记费用按人民币</w:t>
      </w:r>
      <w:r>
        <w:rPr>
          <w:rFonts w:eastAsia="仿宋_GB2312"/>
          <w:color w:val="000000" w:themeColor="text1"/>
          <w:sz w:val="32"/>
          <w:szCs w:val="32"/>
          <w:u w:val="single"/>
          <w14:textFill>
            <w14:solidFill>
              <w14:schemeClr w14:val="tx1"/>
            </w14:solidFill>
          </w14:textFill>
        </w:rPr>
        <w:t xml:space="preserve">   </w:t>
      </w:r>
      <w:r>
        <w:rPr>
          <w:rFonts w:hint="eastAsia" w:eastAsia="仿宋_GB2312"/>
          <w:b w:val="0"/>
          <w:bCs w:val="0"/>
          <w:color w:val="000000" w:themeColor="text1"/>
          <w:sz w:val="32"/>
          <w:szCs w:val="32"/>
          <w:highlight w:val="none"/>
          <w:u w:val="none"/>
          <w14:textFill>
            <w14:solidFill>
              <w14:schemeClr w14:val="tx1"/>
            </w14:solidFill>
          </w14:textFill>
        </w:rPr>
        <w:t>元</w:t>
      </w:r>
      <w:r>
        <w:rPr>
          <w:rFonts w:hint="eastAsia" w:eastAsia="仿宋_GB2312"/>
          <w:b w:val="0"/>
          <w:bCs w:val="0"/>
          <w:color w:val="000000" w:themeColor="text1"/>
          <w:sz w:val="32"/>
          <w:szCs w:val="32"/>
          <w:highlight w:val="none"/>
          <w:u w:val="none"/>
          <w:lang w:eastAsia="zh-CN"/>
          <w14:textFill>
            <w14:solidFill>
              <w14:schemeClr w14:val="tx1"/>
            </w14:solidFill>
          </w14:textFill>
        </w:rPr>
        <w:t>向</w:t>
      </w:r>
      <w:r>
        <w:rPr>
          <w:rFonts w:hint="eastAsia" w:eastAsia="仿宋_GB2312"/>
          <w:b w:val="0"/>
          <w:bCs w:val="0"/>
          <w:color w:val="000000" w:themeColor="text1"/>
          <w:sz w:val="32"/>
          <w:szCs w:val="32"/>
          <w:highlight w:val="none"/>
          <w:u w:val="none"/>
          <w14:textFill>
            <w14:solidFill>
              <w14:schemeClr w14:val="tx1"/>
            </w14:solidFill>
          </w14:textFill>
        </w:rPr>
        <w:t>当事人收取。</w:t>
      </w:r>
    </w:p>
    <w:p>
      <w:pPr>
        <w:keepNext w:val="0"/>
        <w:keepLines w:val="0"/>
        <w:pageBreakBefore w:val="0"/>
        <w:widowControl w:val="0"/>
        <w:tabs>
          <w:tab w:val="left" w:pos="0"/>
        </w:tabs>
        <w:kinsoku/>
        <w:wordWrap/>
        <w:overflowPunct/>
        <w:topLinePunct w:val="0"/>
        <w:autoSpaceDE/>
        <w:autoSpaceDN/>
        <w:bidi w:val="0"/>
        <w:adjustRightInd/>
        <w:snapToGrid w:val="0"/>
        <w:spacing w:line="560" w:lineRule="exact"/>
        <w:ind w:firstLine="640" w:firstLineChars="200"/>
        <w:jc w:val="left"/>
        <w:textAlignment w:val="auto"/>
        <w:rPr>
          <w:rFonts w:eastAsia="仿宋_GB2312"/>
          <w:b w:val="0"/>
          <w:bCs w:val="0"/>
          <w:color w:val="000000" w:themeColor="text1"/>
          <w:sz w:val="32"/>
          <w:szCs w:val="32"/>
          <w:highlight w:val="none"/>
          <w14:textFill>
            <w14:solidFill>
              <w14:schemeClr w14:val="tx1"/>
            </w14:solidFill>
          </w14:textFill>
        </w:rPr>
      </w:pPr>
      <w:r>
        <w:rPr>
          <w:rFonts w:hint="eastAsia" w:ascii="仿宋_GB2312" w:eastAsia="仿宋_GB2312"/>
          <w:b w:val="0"/>
          <w:bCs w:val="0"/>
          <w:color w:val="000000" w:themeColor="text1"/>
          <w:sz w:val="32"/>
          <w:szCs w:val="32"/>
          <w14:textFill>
            <w14:solidFill>
              <w14:schemeClr w14:val="tx1"/>
            </w14:solidFill>
          </w14:textFill>
        </w:rPr>
        <w:t>【说明】</w:t>
      </w:r>
      <w:r>
        <w:rPr>
          <w:rFonts w:hint="eastAsia" w:ascii="仿宋_GB2312" w:eastAsia="仿宋_GB2312"/>
          <w:b w:val="0"/>
          <w:bCs w:val="0"/>
          <w:color w:val="000000" w:themeColor="text1"/>
          <w:sz w:val="32"/>
          <w:szCs w:val="32"/>
          <w:lang w:eastAsia="zh-CN"/>
          <w14:textFill>
            <w14:solidFill>
              <w14:schemeClr w14:val="tx1"/>
            </w14:solidFill>
          </w14:textFill>
        </w:rPr>
        <w:t>币种根据实际情况填写。</w:t>
      </w:r>
    </w:p>
    <w:p>
      <w:pPr>
        <w:keepNext w:val="0"/>
        <w:keepLines w:val="0"/>
        <w:pageBreakBefore w:val="0"/>
        <w:widowControl w:val="0"/>
        <w:numPr>
          <w:ilvl w:val="0"/>
          <w:numId w:val="0"/>
        </w:numPr>
        <w:tabs>
          <w:tab w:val="left" w:pos="1125"/>
        </w:tabs>
        <w:kinsoku/>
        <w:wordWrap/>
        <w:overflowPunct/>
        <w:topLinePunct w:val="0"/>
        <w:autoSpaceDE/>
        <w:autoSpaceDN/>
        <w:bidi w:val="0"/>
        <w:adjustRightInd/>
        <w:snapToGrid w:val="0"/>
        <w:spacing w:line="560" w:lineRule="exact"/>
        <w:ind w:firstLine="640" w:firstLineChars="200"/>
        <w:jc w:val="left"/>
        <w:textAlignment w:val="auto"/>
        <w:rPr>
          <w:rFonts w:hint="eastAsia" w:eastAsia="仿宋_GB2312"/>
          <w:b w:val="0"/>
          <w:bCs w:val="0"/>
          <w:color w:val="000000" w:themeColor="text1"/>
          <w:sz w:val="32"/>
          <w:szCs w:val="32"/>
          <w:highlight w:val="none"/>
          <w:u w:val="none"/>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lang w:val="en" w:bidi="ar"/>
          <w14:textFill>
            <w14:solidFill>
              <w14:schemeClr w14:val="tx1"/>
            </w14:solidFill>
          </w14:textFill>
        </w:rPr>
        <w:t xml:space="preserve">第十条 </w:t>
      </w:r>
      <w:r>
        <w:rPr>
          <w:rFonts w:hint="eastAsia" w:eastAsia="仿宋_GB2312"/>
          <w:b w:val="0"/>
          <w:bCs w:val="0"/>
          <w:color w:val="000000" w:themeColor="text1"/>
          <w:sz w:val="32"/>
          <w:szCs w:val="32"/>
          <w:highlight w:val="none"/>
          <w:u w:val="none"/>
          <w14:textFill>
            <w14:solidFill>
              <w14:schemeClr w14:val="tx1"/>
            </w14:solidFill>
          </w14:textFill>
        </w:rPr>
        <w:t>当事人应在收到本单位受理通知及缴费通知之日起</w:t>
      </w:r>
      <w:r>
        <w:rPr>
          <w:rFonts w:eastAsia="仿宋_GB2312"/>
          <w:color w:val="000000" w:themeColor="text1"/>
          <w:sz w:val="32"/>
          <w:szCs w:val="32"/>
          <w:u w:val="single"/>
          <w14:textFill>
            <w14:solidFill>
              <w14:schemeClr w14:val="tx1"/>
            </w14:solidFill>
          </w14:textFill>
        </w:rPr>
        <w:t xml:space="preserve">   </w:t>
      </w:r>
      <w:r>
        <w:rPr>
          <w:rFonts w:hint="eastAsia" w:eastAsia="仿宋_GB2312"/>
          <w:b w:val="0"/>
          <w:bCs w:val="0"/>
          <w:color w:val="000000" w:themeColor="text1"/>
          <w:sz w:val="32"/>
          <w:szCs w:val="32"/>
          <w:highlight w:val="none"/>
          <w:u w:val="none"/>
          <w14:textFill>
            <w14:solidFill>
              <w14:schemeClr w14:val="tx1"/>
            </w14:solidFill>
          </w14:textFill>
        </w:rPr>
        <w:t>个工作日内，按规定向本单位缴纳调解登记费</w:t>
      </w:r>
      <w:r>
        <w:rPr>
          <w:rFonts w:hint="eastAsia" w:eastAsia="仿宋_GB2312"/>
          <w:b w:val="0"/>
          <w:bCs w:val="0"/>
          <w:color w:val="000000" w:themeColor="text1"/>
          <w:sz w:val="32"/>
          <w:szCs w:val="32"/>
          <w:highlight w:val="none"/>
          <w:u w:val="none"/>
          <w:lang w:eastAsia="zh-CN"/>
          <w14:textFill>
            <w14:solidFill>
              <w14:schemeClr w14:val="tx1"/>
            </w14:solidFill>
          </w14:textFill>
        </w:rPr>
        <w:t>。</w:t>
      </w:r>
    </w:p>
    <w:p>
      <w:pPr>
        <w:tabs>
          <w:tab w:val="left" w:pos="1120"/>
        </w:tabs>
        <w:snapToGrid w:val="0"/>
        <w:spacing w:line="560" w:lineRule="exact"/>
        <w:ind w:firstLine="640" w:firstLineChars="200"/>
        <w:rPr>
          <w:rFonts w:hint="eastAsia" w:eastAsia="仿宋_GB2312"/>
          <w:b w:val="0"/>
          <w:bCs w:val="0"/>
          <w:color w:val="000000" w:themeColor="text1"/>
          <w:sz w:val="32"/>
          <w:szCs w:val="32"/>
          <w:highlight w:val="none"/>
          <w:u w:val="none"/>
          <w:lang w:val="en-US" w:eastAsia="zh-CN"/>
          <w14:textFill>
            <w14:solidFill>
              <w14:schemeClr w14:val="tx1"/>
            </w14:solidFill>
          </w14:textFill>
        </w:rPr>
      </w:pPr>
      <w:r>
        <w:rPr>
          <w:rFonts w:hint="eastAsia" w:eastAsia="仿宋_GB2312"/>
          <w:b w:val="0"/>
          <w:bCs w:val="0"/>
          <w:color w:val="000000" w:themeColor="text1"/>
          <w:sz w:val="32"/>
          <w:szCs w:val="32"/>
          <w:highlight w:val="none"/>
          <w:u w:val="none"/>
          <w:lang w:val="en-US" w:eastAsia="zh-CN"/>
          <w14:textFill>
            <w14:solidFill>
              <w14:schemeClr w14:val="tx1"/>
            </w14:solidFill>
          </w14:textFill>
        </w:rPr>
        <w:t>当事人无正当理由逾期未缴纳调解登记费，收到提醒通知</w:t>
      </w:r>
      <w:r>
        <w:rPr>
          <w:rFonts w:eastAsia="仿宋_GB2312"/>
          <w:color w:val="000000" w:themeColor="text1"/>
          <w:sz w:val="32"/>
          <w:szCs w:val="32"/>
          <w:u w:val="single"/>
          <w14:textFill>
            <w14:solidFill>
              <w14:schemeClr w14:val="tx1"/>
            </w14:solidFill>
          </w14:textFill>
        </w:rPr>
        <w:t xml:space="preserve">   </w:t>
      </w:r>
      <w:r>
        <w:rPr>
          <w:rFonts w:hint="eastAsia" w:eastAsia="仿宋_GB2312"/>
          <w:b w:val="0"/>
          <w:bCs w:val="0"/>
          <w:color w:val="000000" w:themeColor="text1"/>
          <w:sz w:val="32"/>
          <w:szCs w:val="32"/>
          <w:highlight w:val="none"/>
          <w:u w:val="none"/>
          <w:lang w:val="en-US" w:eastAsia="zh-CN"/>
          <w14:textFill>
            <w14:solidFill>
              <w14:schemeClr w14:val="tx1"/>
            </w14:solidFill>
          </w14:textFill>
        </w:rPr>
        <w:t>个工作日内仍不缴纳的，视为放弃或拒绝调解。当事人的调解申请经审核认定符合受理的，当事人所缴纳的调解登记费不再予以退还。</w:t>
      </w:r>
    </w:p>
    <w:p>
      <w:pPr>
        <w:tabs>
          <w:tab w:val="left" w:pos="1120"/>
        </w:tabs>
        <w:snapToGrid w:val="0"/>
        <w:spacing w:line="560" w:lineRule="exact"/>
        <w:ind w:firstLine="640" w:firstLineChars="200"/>
        <w:rPr>
          <w:rFonts w:hint="default" w:eastAsia="仿宋_GB2312"/>
          <w:b w:val="0"/>
          <w:bCs w:val="0"/>
          <w:color w:val="000000" w:themeColor="text1"/>
          <w:sz w:val="32"/>
          <w:szCs w:val="32"/>
          <w:highlight w:val="none"/>
          <w:lang w:val="en-US" w:eastAsia="zh-CN"/>
          <w14:textFill>
            <w14:solidFill>
              <w14:schemeClr w14:val="tx1"/>
            </w14:solidFill>
          </w14:textFill>
        </w:rPr>
      </w:pPr>
      <w:r>
        <w:rPr>
          <w:rFonts w:hint="eastAsia" w:ascii="仿宋_GB2312" w:eastAsia="仿宋_GB2312"/>
          <w:b w:val="0"/>
          <w:bCs w:val="0"/>
          <w:color w:val="000000" w:themeColor="text1"/>
          <w:sz w:val="32"/>
          <w:szCs w:val="32"/>
          <w14:textFill>
            <w14:solidFill>
              <w14:schemeClr w14:val="tx1"/>
            </w14:solidFill>
          </w14:textFill>
        </w:rPr>
        <w:t>【说明】</w:t>
      </w:r>
      <w:r>
        <w:rPr>
          <w:rFonts w:hint="eastAsia" w:ascii="仿宋_GB2312" w:eastAsia="仿宋_GB2312"/>
          <w:b w:val="0"/>
          <w:bCs w:val="0"/>
          <w:color w:val="000000" w:themeColor="text1"/>
          <w:sz w:val="32"/>
          <w:szCs w:val="32"/>
          <w:lang w:eastAsia="zh-CN"/>
          <w14:textFill>
            <w14:solidFill>
              <w14:schemeClr w14:val="tx1"/>
            </w14:solidFill>
          </w14:textFill>
        </w:rPr>
        <w:t>第十一条至第十五条仅作参考，各单位需根据实际情况填写</w:t>
      </w:r>
      <w:r>
        <w:rPr>
          <w:rFonts w:hint="eastAsia" w:ascii="仿宋_GB2312" w:eastAsia="仿宋_GB2312"/>
          <w:b w:val="0"/>
          <w:bCs w:val="0"/>
          <w:color w:val="000000" w:themeColor="text1"/>
          <w:sz w:val="32"/>
          <w:szCs w:val="32"/>
          <w:lang w:val="en-US" w:eastAsia="zh-CN"/>
          <w14:textFill>
            <w14:solidFill>
              <w14:schemeClr w14:val="tx1"/>
            </w14:solidFill>
          </w14:textFill>
        </w:rPr>
        <w:t>(包括先调解,待成功后再收取费用)</w:t>
      </w:r>
      <w:r>
        <w:rPr>
          <w:rFonts w:hint="eastAsia" w:ascii="仿宋_GB2312" w:eastAsia="仿宋_GB2312"/>
          <w:b w:val="0"/>
          <w:bCs w:val="0"/>
          <w:color w:val="000000" w:themeColor="text1"/>
          <w:sz w:val="32"/>
          <w:szCs w:val="32"/>
          <w:lang w:eastAsia="zh-CN"/>
          <w14:textFill>
            <w14:solidFill>
              <w14:schemeClr w14:val="tx1"/>
            </w14:solidFill>
          </w14:textFill>
        </w:rPr>
        <w:t>，要求收费标准和内容需明确具体。</w:t>
      </w:r>
    </w:p>
    <w:p>
      <w:pPr>
        <w:tabs>
          <w:tab w:val="left" w:pos="1120"/>
        </w:tabs>
        <w:snapToGrid w:val="0"/>
        <w:spacing w:line="560" w:lineRule="exact"/>
        <w:ind w:firstLine="640" w:firstLineChars="200"/>
        <w:rPr>
          <w:rFonts w:hint="eastAsia" w:eastAsia="仿宋_GB2312"/>
          <w:b w:val="0"/>
          <w:bCs w:val="0"/>
          <w:color w:val="000000" w:themeColor="text1"/>
          <w:sz w:val="32"/>
          <w:szCs w:val="32"/>
          <w:highlight w:val="none"/>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lang w:val="en" w:bidi="ar"/>
          <w14:textFill>
            <w14:solidFill>
              <w14:schemeClr w14:val="tx1"/>
            </w14:solidFill>
          </w14:textFill>
        </w:rPr>
        <w:t>第十</w:t>
      </w:r>
      <w:r>
        <w:rPr>
          <w:rFonts w:hint="eastAsia" w:ascii="方正黑体_GBK" w:hAnsi="方正黑体_GBK" w:eastAsia="方正黑体_GBK" w:cs="方正黑体_GBK"/>
          <w:b w:val="0"/>
          <w:bCs w:val="0"/>
          <w:color w:val="000000" w:themeColor="text1"/>
          <w:sz w:val="32"/>
          <w:szCs w:val="32"/>
          <w:highlight w:val="none"/>
          <w:lang w:val="en" w:eastAsia="zh-CN" w:bidi="ar"/>
          <w14:textFill>
            <w14:solidFill>
              <w14:schemeClr w14:val="tx1"/>
            </w14:solidFill>
          </w14:textFill>
        </w:rPr>
        <w:t>一</w:t>
      </w:r>
      <w:r>
        <w:rPr>
          <w:rFonts w:hint="eastAsia" w:ascii="方正黑体_GBK" w:hAnsi="方正黑体_GBK" w:eastAsia="方正黑体_GBK" w:cs="方正黑体_GBK"/>
          <w:b w:val="0"/>
          <w:bCs w:val="0"/>
          <w:color w:val="000000" w:themeColor="text1"/>
          <w:sz w:val="32"/>
          <w:szCs w:val="32"/>
          <w:highlight w:val="none"/>
          <w:lang w:val="en" w:bidi="ar"/>
          <w14:textFill>
            <w14:solidFill>
              <w14:schemeClr w14:val="tx1"/>
            </w14:solidFill>
          </w14:textFill>
        </w:rPr>
        <w:t xml:space="preserve">条 </w:t>
      </w:r>
      <w:r>
        <w:rPr>
          <w:rFonts w:hint="eastAsia" w:eastAsia="仿宋_GB2312"/>
          <w:b w:val="0"/>
          <w:bCs w:val="0"/>
          <w:color w:val="000000" w:themeColor="text1"/>
          <w:sz w:val="32"/>
          <w:szCs w:val="32"/>
          <w:highlight w:val="none"/>
          <w14:textFill>
            <w14:solidFill>
              <w14:schemeClr w14:val="tx1"/>
            </w14:solidFill>
          </w14:textFill>
        </w:rPr>
        <w:t>调解服务费的收取</w:t>
      </w:r>
      <w:r>
        <w:rPr>
          <w:rFonts w:hint="eastAsia" w:eastAsia="仿宋_GB2312"/>
          <w:b w:val="0"/>
          <w:bCs w:val="0"/>
          <w:color w:val="000000" w:themeColor="text1"/>
          <w:sz w:val="32"/>
          <w:szCs w:val="32"/>
          <w:highlight w:val="none"/>
          <w:lang w:eastAsia="zh-CN"/>
          <w14:textFill>
            <w14:solidFill>
              <w14:schemeClr w14:val="tx1"/>
            </w14:solidFill>
          </w14:textFill>
        </w:rPr>
        <w:t>，</w:t>
      </w:r>
      <w:r>
        <w:rPr>
          <w:rFonts w:hint="eastAsia" w:eastAsia="仿宋_GB2312"/>
          <w:b w:val="0"/>
          <w:bCs w:val="0"/>
          <w:color w:val="000000" w:themeColor="text1"/>
          <w:sz w:val="32"/>
          <w:szCs w:val="32"/>
          <w:highlight w:val="none"/>
          <w14:textFill>
            <w14:solidFill>
              <w14:schemeClr w14:val="tx1"/>
            </w14:solidFill>
          </w14:textFill>
        </w:rPr>
        <w:t>采取按争议标的额比例收费和计时收费两种方式。</w:t>
      </w:r>
      <w:r>
        <w:rPr>
          <w:rFonts w:hint="eastAsia" w:eastAsia="仿宋_GB2312"/>
          <w:b w:val="0"/>
          <w:bCs w:val="0"/>
          <w:color w:val="000000" w:themeColor="text1"/>
          <w:sz w:val="32"/>
          <w:szCs w:val="32"/>
          <w:highlight w:val="none"/>
          <w:lang w:eastAsia="zh-CN"/>
          <w14:textFill>
            <w14:solidFill>
              <w14:schemeClr w14:val="tx1"/>
            </w14:solidFill>
          </w14:textFill>
        </w:rPr>
        <w:t>具体采用方式，由</w:t>
      </w:r>
      <w:r>
        <w:rPr>
          <w:rFonts w:hint="eastAsia" w:eastAsia="仿宋_GB2312"/>
          <w:b w:val="0"/>
          <w:bCs w:val="0"/>
          <w:color w:val="000000" w:themeColor="text1"/>
          <w:sz w:val="32"/>
          <w:szCs w:val="32"/>
          <w:highlight w:val="none"/>
          <w14:textFill>
            <w14:solidFill>
              <w14:schemeClr w14:val="tx1"/>
            </w14:solidFill>
          </w14:textFill>
        </w:rPr>
        <w:t>本单位与当事人</w:t>
      </w:r>
      <w:r>
        <w:rPr>
          <w:rFonts w:hint="eastAsia" w:eastAsia="仿宋_GB2312"/>
          <w:b w:val="0"/>
          <w:bCs w:val="0"/>
          <w:color w:val="000000" w:themeColor="text1"/>
          <w:sz w:val="32"/>
          <w:szCs w:val="32"/>
          <w:highlight w:val="none"/>
          <w:lang w:eastAsia="zh-CN"/>
          <w14:textFill>
            <w14:solidFill>
              <w14:schemeClr w14:val="tx1"/>
            </w14:solidFill>
          </w14:textFill>
        </w:rPr>
        <w:t>协商确定。</w:t>
      </w:r>
    </w:p>
    <w:p>
      <w:pPr>
        <w:snapToGrid w:val="0"/>
        <w:spacing w:line="560" w:lineRule="exact"/>
        <w:ind w:firstLine="640" w:firstLineChars="200"/>
        <w:rPr>
          <w:rFonts w:hint="eastAsia" w:eastAsia="仿宋_GB2312"/>
          <w:b w:val="0"/>
          <w:bCs w:val="0"/>
          <w:color w:val="000000" w:themeColor="text1"/>
          <w:sz w:val="32"/>
          <w:szCs w:val="32"/>
          <w:highlight w:val="none"/>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lang w:val="en" w:bidi="ar"/>
          <w14:textFill>
            <w14:solidFill>
              <w14:schemeClr w14:val="tx1"/>
            </w14:solidFill>
          </w14:textFill>
        </w:rPr>
        <w:t>第十</w:t>
      </w:r>
      <w:r>
        <w:rPr>
          <w:rFonts w:hint="eastAsia" w:ascii="方正黑体_GBK" w:hAnsi="方正黑体_GBK" w:eastAsia="方正黑体_GBK" w:cs="方正黑体_GBK"/>
          <w:b w:val="0"/>
          <w:bCs w:val="0"/>
          <w:color w:val="000000" w:themeColor="text1"/>
          <w:sz w:val="32"/>
          <w:szCs w:val="32"/>
          <w:highlight w:val="none"/>
          <w:lang w:val="en" w:eastAsia="zh-CN" w:bidi="ar"/>
          <w14:textFill>
            <w14:solidFill>
              <w14:schemeClr w14:val="tx1"/>
            </w14:solidFill>
          </w14:textFill>
        </w:rPr>
        <w:t>二</w:t>
      </w:r>
      <w:r>
        <w:rPr>
          <w:rFonts w:hint="eastAsia" w:ascii="方正黑体_GBK" w:hAnsi="方正黑体_GBK" w:eastAsia="方正黑体_GBK" w:cs="方正黑体_GBK"/>
          <w:b w:val="0"/>
          <w:bCs w:val="0"/>
          <w:color w:val="000000" w:themeColor="text1"/>
          <w:sz w:val="32"/>
          <w:szCs w:val="32"/>
          <w:highlight w:val="none"/>
          <w:lang w:val="en" w:bidi="ar"/>
          <w14:textFill>
            <w14:solidFill>
              <w14:schemeClr w14:val="tx1"/>
            </w14:solidFill>
          </w14:textFill>
        </w:rPr>
        <w:t xml:space="preserve">条 </w:t>
      </w:r>
      <w:r>
        <w:rPr>
          <w:rFonts w:hint="eastAsia" w:eastAsia="仿宋_GB2312"/>
          <w:b w:val="0"/>
          <w:bCs w:val="0"/>
          <w:color w:val="000000" w:themeColor="text1"/>
          <w:sz w:val="32"/>
          <w:szCs w:val="32"/>
          <w:highlight w:val="none"/>
          <w14:textFill>
            <w14:solidFill>
              <w14:schemeClr w14:val="tx1"/>
            </w14:solidFill>
          </w14:textFill>
        </w:rPr>
        <w:t>采取按争议标的额比例收费的</w:t>
      </w:r>
      <w:r>
        <w:rPr>
          <w:rFonts w:hint="eastAsia" w:eastAsia="仿宋_GB2312"/>
          <w:b w:val="0"/>
          <w:bCs w:val="0"/>
          <w:color w:val="000000" w:themeColor="text1"/>
          <w:sz w:val="32"/>
          <w:szCs w:val="32"/>
          <w:highlight w:val="none"/>
          <w:lang w:eastAsia="zh-CN"/>
          <w14:textFill>
            <w14:solidFill>
              <w14:schemeClr w14:val="tx1"/>
            </w14:solidFill>
          </w14:textFill>
        </w:rPr>
        <w:t>，</w:t>
      </w:r>
      <w:r>
        <w:rPr>
          <w:rFonts w:hint="eastAsia" w:eastAsia="仿宋_GB2312"/>
          <w:b w:val="0"/>
          <w:bCs w:val="0"/>
          <w:color w:val="000000" w:themeColor="text1"/>
          <w:sz w:val="32"/>
          <w:szCs w:val="32"/>
          <w:highlight w:val="none"/>
          <w14:textFill>
            <w14:solidFill>
              <w14:schemeClr w14:val="tx1"/>
            </w14:solidFill>
          </w14:textFill>
        </w:rPr>
        <w:t>按下列标准计收调解服务费</w:t>
      </w:r>
      <w:r>
        <w:rPr>
          <w:rFonts w:hint="eastAsia" w:eastAsia="仿宋_GB2312"/>
          <w:b w:val="0"/>
          <w:bCs w:val="0"/>
          <w:color w:val="000000" w:themeColor="text1"/>
          <w:sz w:val="32"/>
          <w:szCs w:val="32"/>
          <w:highlight w:val="none"/>
          <w:lang w:eastAsia="zh-CN"/>
          <w14:textFill>
            <w14:solidFill>
              <w14:schemeClr w14:val="tx1"/>
            </w14:solidFill>
          </w14:textFill>
        </w:rPr>
        <w:t>：</w:t>
      </w:r>
    </w:p>
    <w:p>
      <w:pPr>
        <w:numPr>
          <w:ilvl w:val="0"/>
          <w:numId w:val="2"/>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标的额为</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万元（含本数，下同）以下的，按</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%计费，但计费不足</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元的按</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元收取；</w:t>
      </w:r>
    </w:p>
    <w:p>
      <w:pPr>
        <w:numPr>
          <w:ilvl w:val="0"/>
          <w:numId w:val="2"/>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标的额为</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万元的，超过</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万元的部分按</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%计费；</w:t>
      </w:r>
    </w:p>
    <w:p>
      <w:pPr>
        <w:numPr>
          <w:ilvl w:val="0"/>
          <w:numId w:val="2"/>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pPr>
        <w:snapToGrid w:val="0"/>
        <w:spacing w:line="560" w:lineRule="exact"/>
        <w:ind w:firstLine="640" w:firstLineChars="200"/>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lang w:val="en" w:bidi="ar"/>
          <w14:textFill>
            <w14:solidFill>
              <w14:schemeClr w14:val="tx1"/>
            </w14:solidFill>
          </w14:textFill>
        </w:rPr>
        <w:t>第十</w:t>
      </w:r>
      <w:r>
        <w:rPr>
          <w:rFonts w:hint="eastAsia" w:ascii="方正黑体_GBK" w:hAnsi="方正黑体_GBK" w:eastAsia="方正黑体_GBK" w:cs="方正黑体_GBK"/>
          <w:b w:val="0"/>
          <w:bCs w:val="0"/>
          <w:color w:val="000000" w:themeColor="text1"/>
          <w:sz w:val="32"/>
          <w:szCs w:val="32"/>
          <w:highlight w:val="none"/>
          <w:lang w:val="en" w:eastAsia="zh-CN" w:bidi="ar"/>
          <w14:textFill>
            <w14:solidFill>
              <w14:schemeClr w14:val="tx1"/>
            </w14:solidFill>
          </w14:textFill>
        </w:rPr>
        <w:t>三</w:t>
      </w:r>
      <w:r>
        <w:rPr>
          <w:rFonts w:hint="eastAsia" w:ascii="方正黑体_GBK" w:hAnsi="方正黑体_GBK" w:eastAsia="方正黑体_GBK" w:cs="方正黑体_GBK"/>
          <w:b w:val="0"/>
          <w:bCs w:val="0"/>
          <w:color w:val="000000" w:themeColor="text1"/>
          <w:sz w:val="32"/>
          <w:szCs w:val="32"/>
          <w:highlight w:val="none"/>
          <w:lang w:val="en" w:bidi="ar"/>
          <w14:textFill>
            <w14:solidFill>
              <w14:schemeClr w14:val="tx1"/>
            </w14:solidFill>
          </w14:textFill>
        </w:rPr>
        <w:t xml:space="preserve">条 </w:t>
      </w:r>
      <w:r>
        <w:rPr>
          <w:rFonts w:hint="eastAsia" w:eastAsia="仿宋_GB2312"/>
          <w:b w:val="0"/>
          <w:bCs w:val="0"/>
          <w:color w:val="000000" w:themeColor="text1"/>
          <w:sz w:val="32"/>
          <w:szCs w:val="32"/>
          <w:highlight w:val="none"/>
          <w14:textFill>
            <w14:solidFill>
              <w14:schemeClr w14:val="tx1"/>
            </w14:solidFill>
          </w14:textFill>
        </w:rPr>
        <w:t>采取</w:t>
      </w:r>
      <w:r>
        <w:rPr>
          <w:rFonts w:hint="eastAsia" w:eastAsia="仿宋_GB2312"/>
          <w:b w:val="0"/>
          <w:bCs w:val="0"/>
          <w:color w:val="000000" w:themeColor="text1"/>
          <w:sz w:val="32"/>
          <w:szCs w:val="32"/>
          <w:highlight w:val="none"/>
          <w:lang w:eastAsia="zh-CN"/>
          <w14:textFill>
            <w14:solidFill>
              <w14:schemeClr w14:val="tx1"/>
            </w14:solidFill>
          </w14:textFill>
        </w:rPr>
        <w:t>计时</w:t>
      </w:r>
      <w:r>
        <w:rPr>
          <w:rFonts w:hint="eastAsia" w:eastAsia="仿宋_GB2312"/>
          <w:b w:val="0"/>
          <w:bCs w:val="0"/>
          <w:color w:val="000000" w:themeColor="text1"/>
          <w:sz w:val="32"/>
          <w:szCs w:val="32"/>
          <w:highlight w:val="none"/>
          <w14:textFill>
            <w14:solidFill>
              <w14:schemeClr w14:val="tx1"/>
            </w14:solidFill>
          </w14:textFill>
        </w:rPr>
        <w:t>收费的</w:t>
      </w:r>
      <w:r>
        <w:rPr>
          <w:rFonts w:hint="eastAsia" w:eastAsia="仿宋_GB2312"/>
          <w:b w:val="0"/>
          <w:bCs w:val="0"/>
          <w:color w:val="000000" w:themeColor="text1"/>
          <w:sz w:val="32"/>
          <w:szCs w:val="32"/>
          <w:highlight w:val="none"/>
          <w:lang w:eastAsia="zh-CN"/>
          <w14:textFill>
            <w14:solidFill>
              <w14:schemeClr w14:val="tx1"/>
            </w14:solidFill>
          </w14:textFill>
        </w:rPr>
        <w:t>，</w:t>
      </w:r>
      <w:r>
        <w:rPr>
          <w:rFonts w:hint="eastAsia" w:eastAsia="仿宋_GB2312"/>
          <w:b w:val="0"/>
          <w:bCs w:val="0"/>
          <w:color w:val="000000" w:themeColor="text1"/>
          <w:sz w:val="32"/>
          <w:szCs w:val="32"/>
          <w:highlight w:val="none"/>
          <w14:textFill>
            <w14:solidFill>
              <w14:schemeClr w14:val="tx1"/>
            </w14:solidFill>
          </w14:textFill>
        </w:rPr>
        <w:t>按下列标准计收调解服务费:</w:t>
      </w:r>
    </w:p>
    <w:p>
      <w:pPr>
        <w:numPr>
          <w:ilvl w:val="0"/>
          <w:numId w:val="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标的额为</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万元（含本数，下同）以下的，按每小时</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元计费；</w:t>
      </w:r>
    </w:p>
    <w:p>
      <w:pPr>
        <w:numPr>
          <w:ilvl w:val="0"/>
          <w:numId w:val="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标的额为</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万元—</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万元的，按每小时</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元计费；</w:t>
      </w:r>
    </w:p>
    <w:p>
      <w:pPr>
        <w:numPr>
          <w:ilvl w:val="0"/>
          <w:numId w:val="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pPr>
        <w:numPr>
          <w:ilvl w:val="0"/>
          <w:numId w:val="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内地案件一般计费标准为每小时</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元—</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元（单名调解员）；</w:t>
      </w:r>
    </w:p>
    <w:p>
      <w:pPr>
        <w:numPr>
          <w:ilvl w:val="0"/>
          <w:numId w:val="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跨境及涉外案件计费标准为每小时</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美元   —</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美元（单名调解员）；</w:t>
      </w:r>
    </w:p>
    <w:p>
      <w:pPr>
        <w:numPr>
          <w:ilvl w:val="0"/>
          <w:numId w:val="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最低计费时间为</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小时，调解时间超</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小时的部分每1小时为一个计费单位，未满1小时的按1小时计费；</w:t>
      </w:r>
    </w:p>
    <w:p>
      <w:pPr>
        <w:numPr>
          <w:ilvl w:val="0"/>
          <w:numId w:val="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当事人选定多名（2名以上）调解员共同调解的，对于增加的调解员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的相关费用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，可以考虑在收费标准的基础上予以优惠，具体由当事人与本单位协商确定。</w:t>
      </w:r>
    </w:p>
    <w:p>
      <w:pPr>
        <w:tabs>
          <w:tab w:val="left" w:pos="0"/>
        </w:tabs>
        <w:snapToGrid w:val="0"/>
        <w:spacing w:line="560" w:lineRule="exact"/>
        <w:ind w:firstLine="640" w:firstLineChars="200"/>
        <w:rPr>
          <w:rFonts w:hint="eastAsia" w:ascii="仿宋_GB2312" w:hAnsi="仿宋_GB2312" w:eastAsia="仿宋_GB2312" w:cs="仿宋_GB2312"/>
          <w:b w:val="0"/>
          <w:bCs w:val="0"/>
          <w:color w:val="000000" w:themeColor="text1"/>
          <w:sz w:val="32"/>
          <w:szCs w:val="32"/>
          <w:highlight w:val="none"/>
          <w:u w:val="none"/>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lang w:val="en" w:bidi="ar"/>
          <w14:textFill>
            <w14:solidFill>
              <w14:schemeClr w14:val="tx1"/>
            </w14:solidFill>
          </w14:textFill>
        </w:rPr>
        <w:t>第十</w:t>
      </w:r>
      <w:r>
        <w:rPr>
          <w:rFonts w:hint="eastAsia" w:ascii="方正黑体_GBK" w:hAnsi="方正黑体_GBK" w:eastAsia="方正黑体_GBK" w:cs="方正黑体_GBK"/>
          <w:b w:val="0"/>
          <w:bCs w:val="0"/>
          <w:color w:val="000000" w:themeColor="text1"/>
          <w:sz w:val="32"/>
          <w:szCs w:val="32"/>
          <w:highlight w:val="none"/>
          <w:lang w:val="en" w:eastAsia="zh-CN" w:bidi="ar"/>
          <w14:textFill>
            <w14:solidFill>
              <w14:schemeClr w14:val="tx1"/>
            </w14:solidFill>
          </w14:textFill>
        </w:rPr>
        <w:t>四</w:t>
      </w:r>
      <w:r>
        <w:rPr>
          <w:rFonts w:hint="eastAsia" w:ascii="方正黑体_GBK" w:hAnsi="方正黑体_GBK" w:eastAsia="方正黑体_GBK" w:cs="方正黑体_GBK"/>
          <w:b w:val="0"/>
          <w:bCs w:val="0"/>
          <w:color w:val="000000" w:themeColor="text1"/>
          <w:sz w:val="32"/>
          <w:szCs w:val="32"/>
          <w:highlight w:val="none"/>
          <w:lang w:val="en" w:bidi="ar"/>
          <w14:textFill>
            <w14:solidFill>
              <w14:schemeClr w14:val="tx1"/>
            </w14:solidFill>
          </w14:textFill>
        </w:rPr>
        <w:t xml:space="preserve">条 </w:t>
      </w:r>
      <w:r>
        <w:rPr>
          <w:rFonts w:hint="eastAsia" w:eastAsia="仿宋_GB2312"/>
          <w:b w:val="0"/>
          <w:bCs w:val="0"/>
          <w:color w:val="000000" w:themeColor="text1"/>
          <w:sz w:val="32"/>
          <w:szCs w:val="32"/>
          <w:highlight w:val="none"/>
          <w:lang w:val="en" w:eastAsia="zh-CN"/>
          <w14:textFill>
            <w14:solidFill>
              <w14:schemeClr w14:val="tx1"/>
            </w14:solidFill>
          </w14:textFill>
        </w:rPr>
        <w:t>采</w:t>
      </w:r>
      <w:r>
        <w:rPr>
          <w:rFonts w:hint="eastAsia" w:eastAsia="仿宋_GB2312"/>
          <w:b w:val="0"/>
          <w:bCs w:val="0"/>
          <w:color w:val="000000" w:themeColor="text1"/>
          <w:sz w:val="32"/>
          <w:szCs w:val="32"/>
          <w:highlight w:val="none"/>
          <w:lang w:eastAsia="zh-CN"/>
          <w14:textFill>
            <w14:solidFill>
              <w14:schemeClr w14:val="tx1"/>
            </w14:solidFill>
          </w14:textFill>
        </w:rPr>
        <w:t>取按争议标的额比例收费的，一般应由当事人一次性缴纳，经协商也可实行分期缴纳。分期缴纳的，首期付费不得低于总费用的</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u w:val="none"/>
          <w:lang w:eastAsia="zh-CN"/>
          <w14:textFill>
            <w14:solidFill>
              <w14:schemeClr w14:val="tx1"/>
            </w14:solidFill>
          </w14:textFill>
        </w:rPr>
        <w:t>。</w:t>
      </w:r>
    </w:p>
    <w:p>
      <w:pPr>
        <w:pStyle w:val="15"/>
        <w:rPr>
          <w:rFonts w:hint="eastAsia" w:ascii="仿宋_GB2312" w:hAnsi="仿宋_GB2312" w:eastAsia="仿宋_GB2312" w:cs="仿宋_GB2312"/>
          <w:b w:val="0"/>
          <w:bCs w:val="0"/>
          <w:color w:val="000000" w:themeColor="text1"/>
          <w:sz w:val="32"/>
          <w:szCs w:val="32"/>
          <w:highlight w:val="none"/>
          <w:u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u w:val="none"/>
          <w:lang w:eastAsia="zh-CN"/>
          <w14:textFill>
            <w14:solidFill>
              <w14:schemeClr w14:val="tx1"/>
            </w14:solidFill>
          </w14:textFill>
        </w:rPr>
        <w:t>采取计时计费的，可按协议预算的调解用时费用由当事人一次性缴纳，也可实行分期缴纳。分期缴费的，首期付费不得低于预算调解用时总费用的</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u w:val="none"/>
          <w:lang w:eastAsia="zh-CN"/>
          <w14:textFill>
            <w14:solidFill>
              <w14:schemeClr w14:val="tx1"/>
            </w14:solidFill>
          </w14:textFill>
        </w:rPr>
        <w:t>。已收取的计时费用相较于实际用时费用有差别的，应在结算时按“多退少补”处理。</w:t>
      </w:r>
    </w:p>
    <w:p>
      <w:pPr>
        <w:pStyle w:val="15"/>
        <w:rPr>
          <w:rFonts w:hint="eastAsia" w:ascii="仿宋_GB2312" w:hAnsi="仿宋_GB2312" w:eastAsia="仿宋_GB2312" w:cs="仿宋_GB2312"/>
          <w:b w:val="0"/>
          <w:bCs w:val="0"/>
          <w:color w:val="000000" w:themeColor="text1"/>
          <w:sz w:val="32"/>
          <w:szCs w:val="32"/>
          <w:highlight w:val="none"/>
          <w:u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u w:val="none"/>
          <w:lang w:eastAsia="zh-CN"/>
          <w14:textFill>
            <w14:solidFill>
              <w14:schemeClr w14:val="tx1"/>
            </w14:solidFill>
          </w14:textFill>
        </w:rPr>
        <w:t>调解缴费方式，特别是分期缴费安排，应当在收费协议中载明。</w:t>
      </w:r>
    </w:p>
    <w:p>
      <w:pPr>
        <w:tabs>
          <w:tab w:val="left" w:pos="0"/>
        </w:tabs>
        <w:snapToGrid w:val="0"/>
        <w:spacing w:line="560" w:lineRule="exact"/>
        <w:ind w:firstLine="640" w:firstLineChars="200"/>
        <w:rPr>
          <w:rFonts w:hint="eastAsia" w:eastAsia="仿宋_GB2312"/>
          <w:b w:val="0"/>
          <w:bCs w:val="0"/>
          <w:color w:val="000000" w:themeColor="text1"/>
          <w:sz w:val="32"/>
          <w:szCs w:val="32"/>
          <w:highlight w:val="none"/>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第十</w:t>
      </w:r>
      <w:r>
        <w:rPr>
          <w:rFonts w:hint="eastAsia" w:ascii="方正黑体_GBK" w:hAnsi="方正黑体_GBK" w:eastAsia="方正黑体_GBK" w:cs="方正黑体_GBK"/>
          <w:b w:val="0"/>
          <w:bCs w:val="0"/>
          <w:color w:val="000000" w:themeColor="text1"/>
          <w:sz w:val="32"/>
          <w:szCs w:val="32"/>
          <w:highlight w:val="none"/>
          <w:lang w:eastAsia="zh-CN"/>
          <w14:textFill>
            <w14:solidFill>
              <w14:schemeClr w14:val="tx1"/>
            </w14:solidFill>
          </w14:textFill>
        </w:rPr>
        <w:t>五</w:t>
      </w: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 xml:space="preserve">条 </w:t>
      </w:r>
      <w:r>
        <w:rPr>
          <w:rFonts w:hint="eastAsia" w:eastAsia="仿宋_GB2312"/>
          <w:b w:val="0"/>
          <w:bCs w:val="0"/>
          <w:color w:val="000000" w:themeColor="text1"/>
          <w:sz w:val="32"/>
          <w:szCs w:val="32"/>
          <w:highlight w:val="none"/>
          <w14:textFill>
            <w14:solidFill>
              <w14:schemeClr w14:val="tx1"/>
            </w14:solidFill>
          </w14:textFill>
        </w:rPr>
        <w:t>当事人应在选定或指定调解员后，</w:t>
      </w:r>
      <w:r>
        <w:rPr>
          <w:rFonts w:hint="eastAsia" w:eastAsia="仿宋_GB2312"/>
          <w:b w:val="0"/>
          <w:bCs w:val="0"/>
          <w:color w:val="000000" w:themeColor="text1"/>
          <w:sz w:val="32"/>
          <w:szCs w:val="32"/>
          <w:highlight w:val="none"/>
          <w:lang w:eastAsia="zh-CN"/>
          <w14:textFill>
            <w14:solidFill>
              <w14:schemeClr w14:val="tx1"/>
            </w14:solidFill>
          </w14:textFill>
        </w:rPr>
        <w:t>且</w:t>
      </w:r>
      <w:r>
        <w:rPr>
          <w:rFonts w:hint="eastAsia" w:eastAsia="仿宋_GB2312"/>
          <w:b w:val="0"/>
          <w:bCs w:val="0"/>
          <w:color w:val="000000" w:themeColor="text1"/>
          <w:sz w:val="32"/>
          <w:szCs w:val="32"/>
          <w:highlight w:val="none"/>
          <w14:textFill>
            <w14:solidFill>
              <w14:schemeClr w14:val="tx1"/>
            </w14:solidFill>
          </w14:textFill>
        </w:rPr>
        <w:t>签署收费协议之日起</w:t>
      </w:r>
      <w:r>
        <w:rPr>
          <w:rFonts w:eastAsia="仿宋_GB2312"/>
          <w:color w:val="000000" w:themeColor="text1"/>
          <w:sz w:val="32"/>
          <w:szCs w:val="32"/>
          <w:u w:val="single"/>
          <w14:textFill>
            <w14:solidFill>
              <w14:schemeClr w14:val="tx1"/>
            </w14:solidFill>
          </w14:textFill>
        </w:rPr>
        <w:t xml:space="preserve">   </w:t>
      </w:r>
      <w:r>
        <w:rPr>
          <w:rFonts w:hint="eastAsia" w:eastAsia="仿宋_GB2312"/>
          <w:b w:val="0"/>
          <w:bCs w:val="0"/>
          <w:color w:val="000000" w:themeColor="text1"/>
          <w:sz w:val="32"/>
          <w:szCs w:val="32"/>
          <w:highlight w:val="none"/>
          <w14:textFill>
            <w14:solidFill>
              <w14:schemeClr w14:val="tx1"/>
            </w14:solidFill>
          </w14:textFill>
        </w:rPr>
        <w:t>个工作日内，按约定的缴纳数额和缴费方式，向本单位支付调解服务费。</w:t>
      </w:r>
      <w:r>
        <w:rPr>
          <w:rFonts w:hint="eastAsia" w:eastAsia="仿宋_GB2312"/>
          <w:b w:val="0"/>
          <w:bCs w:val="0"/>
          <w:color w:val="000000" w:themeColor="text1"/>
          <w:sz w:val="32"/>
          <w:szCs w:val="32"/>
          <w:highlight w:val="none"/>
          <w:lang w:eastAsia="zh-CN"/>
          <w14:textFill>
            <w14:solidFill>
              <w14:schemeClr w14:val="tx1"/>
            </w14:solidFill>
          </w14:textFill>
        </w:rPr>
        <w:t>分期缴费的，在缴纳首期费用后，应按约定的时间和方式缴纳其余费用。</w:t>
      </w:r>
    </w:p>
    <w:p>
      <w:pPr>
        <w:tabs>
          <w:tab w:val="left" w:pos="0"/>
        </w:tabs>
        <w:snapToGrid w:val="0"/>
        <w:spacing w:line="560" w:lineRule="exact"/>
        <w:ind w:firstLine="640" w:firstLineChars="200"/>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bookmarkStart w:id="0" w:name="_GoBack"/>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第十</w:t>
      </w:r>
      <w:r>
        <w:rPr>
          <w:rFonts w:hint="eastAsia" w:ascii="方正黑体_GBK" w:hAnsi="方正黑体_GBK" w:eastAsia="方正黑体_GBK" w:cs="方正黑体_GBK"/>
          <w:b w:val="0"/>
          <w:bCs w:val="0"/>
          <w:color w:val="000000" w:themeColor="text1"/>
          <w:sz w:val="32"/>
          <w:szCs w:val="32"/>
          <w:highlight w:val="none"/>
          <w:lang w:eastAsia="zh-CN"/>
          <w14:textFill>
            <w14:solidFill>
              <w14:schemeClr w14:val="tx1"/>
            </w14:solidFill>
          </w14:textFill>
        </w:rPr>
        <w:t>六</w:t>
      </w: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 xml:space="preserve">条 </w:t>
      </w:r>
      <w:r>
        <w:rPr>
          <w:rFonts w:hint="eastAsia" w:eastAsia="仿宋_GB2312"/>
          <w:b w:val="0"/>
          <w:bCs w:val="0"/>
          <w:color w:val="000000" w:themeColor="text1"/>
          <w:sz w:val="32"/>
          <w:szCs w:val="32"/>
          <w:highlight w:val="none"/>
          <w14:textFill>
            <w14:solidFill>
              <w14:schemeClr w14:val="tx1"/>
            </w14:solidFill>
          </w14:textFill>
        </w:rPr>
        <w:t>调解服务费的返还</w:t>
      </w:r>
      <w:r>
        <w:rPr>
          <w:rFonts w:hint="eastAsia" w:eastAsia="仿宋_GB2312"/>
          <w:b w:val="0"/>
          <w:bCs w:val="0"/>
          <w:color w:val="000000" w:themeColor="text1"/>
          <w:sz w:val="32"/>
          <w:szCs w:val="32"/>
          <w:highlight w:val="none"/>
          <w:lang w:eastAsia="zh-CN"/>
          <w14:textFill>
            <w14:solidFill>
              <w14:schemeClr w14:val="tx1"/>
            </w14:solidFill>
          </w14:textFill>
        </w:rPr>
        <w:t>的情形包含应当返还、酌情返还、不予返还，具体如下：</w:t>
      </w:r>
    </w:p>
    <w:p>
      <w:pPr>
        <w:numPr>
          <w:ilvl w:val="0"/>
          <w:numId w:val="4"/>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调解服务费应当返还的情形</w:t>
      </w:r>
    </w:p>
    <w:p>
      <w:pPr>
        <w:tabs>
          <w:tab w:val="left" w:pos="0"/>
        </w:tabs>
        <w:snapToGrid w:val="0"/>
        <w:spacing w:line="560" w:lineRule="exact"/>
        <w:ind w:firstLine="640" w:firstLineChars="200"/>
        <w:rPr>
          <w:rFonts w:hint="eastAsia" w:eastAsia="仿宋_GB2312"/>
          <w:b w:val="0"/>
          <w:bCs w:val="0"/>
          <w:color w:val="000000" w:themeColor="text1"/>
          <w:sz w:val="32"/>
          <w:szCs w:val="32"/>
          <w:highlight w:val="none"/>
          <w14:textFill>
            <w14:solidFill>
              <w14:schemeClr w14:val="tx1"/>
            </w14:solidFill>
          </w14:textFill>
        </w:rPr>
      </w:pPr>
      <w:r>
        <w:rPr>
          <w:rFonts w:hint="eastAsia" w:eastAsia="仿宋_GB2312"/>
          <w:b w:val="0"/>
          <w:bCs w:val="0"/>
          <w:color w:val="000000" w:themeColor="text1"/>
          <w:sz w:val="32"/>
          <w:szCs w:val="32"/>
          <w:highlight w:val="none"/>
          <w14:textFill>
            <w14:solidFill>
              <w14:schemeClr w14:val="tx1"/>
            </w14:solidFill>
          </w14:textFill>
        </w:rPr>
        <w:t>当事人已缴纳的调解计时费用多于实际用时费用的，本单位在结算时向当事人返还多收费用。</w:t>
      </w:r>
    </w:p>
    <w:p>
      <w:pPr>
        <w:numPr>
          <w:ilvl w:val="0"/>
          <w:numId w:val="4"/>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调解服务费酌情返还的情形</w:t>
      </w:r>
    </w:p>
    <w:p>
      <w:pPr>
        <w:tabs>
          <w:tab w:val="left" w:pos="0"/>
        </w:tabs>
        <w:snapToGrid w:val="0"/>
        <w:spacing w:line="560" w:lineRule="exact"/>
        <w:ind w:firstLine="640" w:firstLineChars="200"/>
        <w:rPr>
          <w:rFonts w:hint="eastAsia" w:eastAsia="仿宋_GB2312"/>
          <w:b w:val="0"/>
          <w:bCs w:val="0"/>
          <w:color w:val="000000" w:themeColor="text1"/>
          <w:sz w:val="32"/>
          <w:szCs w:val="32"/>
          <w:highlight w:val="none"/>
          <w14:textFill>
            <w14:solidFill>
              <w14:schemeClr w14:val="tx1"/>
            </w14:solidFill>
          </w14:textFill>
        </w:rPr>
      </w:pPr>
      <w:r>
        <w:rPr>
          <w:rFonts w:hint="eastAsia" w:eastAsia="仿宋_GB2312"/>
          <w:b w:val="0"/>
          <w:bCs w:val="0"/>
          <w:color w:val="000000" w:themeColor="text1"/>
          <w:sz w:val="32"/>
          <w:szCs w:val="32"/>
          <w:highlight w:val="none"/>
          <w14:textFill>
            <w14:solidFill>
              <w14:schemeClr w14:val="tx1"/>
            </w14:solidFill>
          </w14:textFill>
        </w:rPr>
        <w:t>一方或多方当事人提出终止调解程序，或根据调解规则需要终止调解程序的，本单位可酌情返还已收取的部分调解服务费，最多不超过已收取的调解服务费的</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eastAsia="仿宋_GB2312"/>
          <w:b w:val="0"/>
          <w:bCs w:val="0"/>
          <w:color w:val="000000" w:themeColor="text1"/>
          <w:sz w:val="32"/>
          <w:szCs w:val="32"/>
          <w:highlight w:val="none"/>
          <w14:textFill>
            <w14:solidFill>
              <w14:schemeClr w14:val="tx1"/>
            </w14:solidFill>
          </w14:textFill>
        </w:rPr>
        <w:t>。</w:t>
      </w:r>
    </w:p>
    <w:p>
      <w:pPr>
        <w:numPr>
          <w:ilvl w:val="0"/>
          <w:numId w:val="4"/>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调解服务费不予返还的情形</w:t>
      </w:r>
    </w:p>
    <w:p>
      <w:pPr>
        <w:tabs>
          <w:tab w:val="left" w:pos="1120"/>
        </w:tabs>
        <w:snapToGrid w:val="0"/>
        <w:spacing w:line="560" w:lineRule="exact"/>
        <w:ind w:firstLine="640" w:firstLineChars="200"/>
        <w:rPr>
          <w:rFonts w:hint="eastAsia" w:eastAsia="仿宋_GB2312"/>
          <w:b w:val="0"/>
          <w:bCs w:val="0"/>
          <w:color w:val="000000" w:themeColor="text1"/>
          <w:sz w:val="32"/>
          <w:szCs w:val="32"/>
          <w:highlight w:val="none"/>
          <w:lang w:eastAsia="zh-CN"/>
          <w14:textFill>
            <w14:solidFill>
              <w14:schemeClr w14:val="tx1"/>
            </w14:solidFill>
          </w14:textFill>
        </w:rPr>
      </w:pPr>
      <w:r>
        <w:rPr>
          <w:rFonts w:hint="eastAsia" w:eastAsia="仿宋_GB2312"/>
          <w:b w:val="0"/>
          <w:bCs w:val="0"/>
          <w:color w:val="000000" w:themeColor="text1"/>
          <w:sz w:val="32"/>
          <w:szCs w:val="32"/>
          <w:highlight w:val="none"/>
          <w14:textFill>
            <w14:solidFill>
              <w14:schemeClr w14:val="tx1"/>
            </w14:solidFill>
          </w14:textFill>
        </w:rPr>
        <w:t>期限届满调解未成功，但本单位及其调解员已按照调解规则及调解协议等相关规定为当事人提供相对应调解服务的，调解服务费不予返还。</w:t>
      </w:r>
      <w:r>
        <w:rPr>
          <w:rFonts w:hint="eastAsia" w:eastAsia="仿宋_GB2312"/>
          <w:b w:val="0"/>
          <w:bCs w:val="0"/>
          <w:color w:val="000000" w:themeColor="text1"/>
          <w:sz w:val="32"/>
          <w:szCs w:val="32"/>
          <w:highlight w:val="none"/>
          <w:lang w:eastAsia="zh-CN"/>
          <w14:textFill>
            <w14:solidFill>
              <w14:schemeClr w14:val="tx1"/>
            </w14:solidFill>
          </w14:textFill>
        </w:rPr>
        <w:t>调解</w:t>
      </w:r>
      <w:r>
        <w:rPr>
          <w:rFonts w:hint="eastAsia" w:eastAsia="仿宋_GB2312"/>
          <w:b w:val="0"/>
          <w:bCs w:val="0"/>
          <w:color w:val="000000" w:themeColor="text1"/>
          <w:sz w:val="32"/>
          <w:szCs w:val="32"/>
          <w:highlight w:val="none"/>
          <w14:textFill>
            <w14:solidFill>
              <w14:schemeClr w14:val="tx1"/>
            </w14:solidFill>
          </w14:textFill>
        </w:rPr>
        <w:t>成功</w:t>
      </w:r>
      <w:r>
        <w:rPr>
          <w:rFonts w:hint="eastAsia" w:eastAsia="仿宋_GB2312"/>
          <w:b w:val="0"/>
          <w:bCs w:val="0"/>
          <w:color w:val="000000" w:themeColor="text1"/>
          <w:sz w:val="32"/>
          <w:szCs w:val="32"/>
          <w:highlight w:val="none"/>
          <w:lang w:eastAsia="zh-CN"/>
          <w14:textFill>
            <w14:solidFill>
              <w14:schemeClr w14:val="tx1"/>
            </w14:solidFill>
          </w14:textFill>
        </w:rPr>
        <w:t>的，</w:t>
      </w:r>
      <w:r>
        <w:rPr>
          <w:rFonts w:hint="eastAsia" w:eastAsia="仿宋_GB2312"/>
          <w:b w:val="0"/>
          <w:bCs w:val="0"/>
          <w:color w:val="000000" w:themeColor="text1"/>
          <w:sz w:val="32"/>
          <w:szCs w:val="32"/>
          <w:highlight w:val="none"/>
          <w14:textFill>
            <w14:solidFill>
              <w14:schemeClr w14:val="tx1"/>
            </w14:solidFill>
          </w14:textFill>
        </w:rPr>
        <w:t>调解服务费不予返还</w:t>
      </w:r>
      <w:r>
        <w:rPr>
          <w:rFonts w:hint="eastAsia" w:eastAsia="仿宋_GB2312"/>
          <w:b w:val="0"/>
          <w:bCs w:val="0"/>
          <w:color w:val="000000" w:themeColor="text1"/>
          <w:sz w:val="32"/>
          <w:szCs w:val="32"/>
          <w:highlight w:val="none"/>
          <w:lang w:eastAsia="zh-CN"/>
          <w14:textFill>
            <w14:solidFill>
              <w14:schemeClr w14:val="tx1"/>
            </w14:solidFill>
          </w14:textFill>
        </w:rPr>
        <w:t>。</w:t>
      </w:r>
    </w:p>
    <w:p>
      <w:pPr>
        <w:tabs>
          <w:tab w:val="left" w:pos="1120"/>
        </w:tabs>
        <w:snapToGrid w:val="0"/>
        <w:spacing w:line="560" w:lineRule="exact"/>
        <w:ind w:firstLine="640" w:firstLineChars="200"/>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eastAsia="仿宋_GB2312"/>
          <w:b w:val="0"/>
          <w:bCs w:val="0"/>
          <w:color w:val="000000" w:themeColor="text1"/>
          <w:sz w:val="32"/>
          <w:szCs w:val="32"/>
          <w:highlight w:val="none"/>
          <w14:textFill>
            <w14:solidFill>
              <w14:schemeClr w14:val="tx1"/>
            </w14:solidFill>
          </w14:textFill>
        </w:rPr>
        <w:t>【说</w:t>
      </w:r>
      <w:r>
        <w:rPr>
          <w:rFonts w:hint="eastAsia" w:ascii="仿宋_GB2312" w:eastAsia="仿宋_GB2312"/>
          <w:b w:val="0"/>
          <w:bCs w:val="0"/>
          <w:color w:val="000000" w:themeColor="text1"/>
          <w:sz w:val="32"/>
          <w:szCs w:val="32"/>
          <w:highlight w:val="none"/>
          <w:lang w:eastAsia="zh-CN"/>
          <w14:textFill>
            <w14:solidFill>
              <w14:schemeClr w14:val="tx1"/>
            </w14:solidFill>
          </w14:textFill>
        </w:rPr>
        <w:t>明】收费标准对退费规则应予以明确规定。</w:t>
      </w:r>
    </w:p>
    <w:p>
      <w:pPr>
        <w:tabs>
          <w:tab w:val="left" w:pos="0"/>
        </w:tabs>
        <w:snapToGrid w:val="0"/>
        <w:spacing w:line="560" w:lineRule="exact"/>
        <w:ind w:firstLine="640" w:firstLineChars="200"/>
        <w:rPr>
          <w:rFonts w:hint="eastAsia" w:eastAsia="仿宋_GB2312"/>
          <w:b w:val="0"/>
          <w:bCs w:val="0"/>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第十</w:t>
      </w:r>
      <w:r>
        <w:rPr>
          <w:rFonts w:hint="eastAsia" w:ascii="方正黑体_GBK" w:hAnsi="方正黑体_GBK" w:eastAsia="方正黑体_GBK" w:cs="方正黑体_GBK"/>
          <w:b w:val="0"/>
          <w:bCs w:val="0"/>
          <w:color w:val="000000" w:themeColor="text1"/>
          <w:sz w:val="32"/>
          <w:szCs w:val="32"/>
          <w:highlight w:val="none"/>
          <w:lang w:eastAsia="zh-CN"/>
          <w14:textFill>
            <w14:solidFill>
              <w14:schemeClr w14:val="tx1"/>
            </w14:solidFill>
          </w14:textFill>
        </w:rPr>
        <w:t>七</w:t>
      </w: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 xml:space="preserve">条 </w:t>
      </w:r>
      <w:r>
        <w:rPr>
          <w:rFonts w:hint="eastAsia" w:eastAsia="仿宋_GB2312"/>
          <w:b w:val="0"/>
          <w:bCs w:val="0"/>
          <w:color w:val="000000" w:themeColor="text1"/>
          <w:sz w:val="32"/>
          <w:szCs w:val="32"/>
          <w:highlight w:val="none"/>
          <w14:textFill>
            <w14:solidFill>
              <w14:schemeClr w14:val="tx1"/>
            </w14:solidFill>
          </w14:textFill>
        </w:rPr>
        <w:t>由当事人另行承担的</w:t>
      </w:r>
      <w:r>
        <w:rPr>
          <w:rFonts w:hint="eastAsia" w:eastAsia="仿宋_GB2312"/>
          <w:b w:val="0"/>
          <w:bCs w:val="0"/>
          <w:strike w:val="0"/>
          <w:dstrike w:val="0"/>
          <w:color w:val="000000" w:themeColor="text1"/>
          <w:sz w:val="32"/>
          <w:szCs w:val="32"/>
          <w:highlight w:val="none"/>
          <w:lang w:eastAsia="zh-CN"/>
          <w14:textFill>
            <w14:solidFill>
              <w14:schemeClr w14:val="tx1"/>
            </w14:solidFill>
          </w14:textFill>
        </w:rPr>
        <w:t>其他</w:t>
      </w:r>
      <w:r>
        <w:rPr>
          <w:rFonts w:hint="eastAsia" w:eastAsia="仿宋_GB2312"/>
          <w:b w:val="0"/>
          <w:bCs w:val="0"/>
          <w:color w:val="000000" w:themeColor="text1"/>
          <w:sz w:val="32"/>
          <w:szCs w:val="32"/>
          <w:highlight w:val="none"/>
          <w14:textFill>
            <w14:solidFill>
              <w14:schemeClr w14:val="tx1"/>
            </w14:solidFill>
          </w14:textFill>
        </w:rPr>
        <w:t>费用，属于一方当事人提请且受益的，由该方当事人承担；属于双方当事人提请或同意，且使双方受益的，由双方当事人平均承担，但当事人另有约定的从其约定。</w:t>
      </w:r>
    </w:p>
    <w:p>
      <w:pPr>
        <w:tabs>
          <w:tab w:val="left" w:pos="0"/>
        </w:tabs>
        <w:snapToGrid w:val="0"/>
        <w:spacing w:line="560" w:lineRule="exact"/>
        <w:ind w:firstLine="640" w:firstLineChars="200"/>
        <w:rPr>
          <w:rFonts w:eastAsia="仿宋_GB2312"/>
          <w:b w:val="0"/>
          <w:bCs w:val="0"/>
          <w:color w:val="000000" w:themeColor="text1"/>
          <w:sz w:val="32"/>
          <w:szCs w:val="32"/>
          <w:highlight w:val="none"/>
          <w14:textFill>
            <w14:solidFill>
              <w14:schemeClr w14:val="tx1"/>
            </w14:solidFill>
          </w14:textFill>
        </w:rPr>
      </w:pPr>
      <w:r>
        <w:rPr>
          <w:rFonts w:hint="eastAsia" w:eastAsia="仿宋_GB2312"/>
          <w:b w:val="0"/>
          <w:bCs w:val="0"/>
          <w:color w:val="000000" w:themeColor="text1"/>
          <w:sz w:val="32"/>
          <w:szCs w:val="32"/>
          <w:highlight w:val="none"/>
          <w14:textFill>
            <w14:solidFill>
              <w14:schemeClr w14:val="tx1"/>
            </w14:solidFill>
          </w14:textFill>
        </w:rPr>
        <w:t>当事人另行承担的其他费用，可由当事人自行向相关服务提供方或有关机构支付，也可约定由本单位收取后转付，具体支付方式在收费协议中明确。调解结束后，当事人应当按照收费协议的约定及时支付有关费用。</w:t>
      </w:r>
    </w:p>
    <w:bookmarkEnd w:id="0"/>
    <w:p>
      <w:pPr>
        <w:tabs>
          <w:tab w:val="left" w:pos="1120"/>
        </w:tabs>
        <w:snapToGrid w:val="0"/>
        <w:spacing w:line="560" w:lineRule="exact"/>
        <w:ind w:firstLine="640" w:firstLineChars="200"/>
        <w:rPr>
          <w:rFonts w:hint="default" w:ascii="仿宋_GB2312" w:hAnsi="仿宋_GB2312" w:eastAsia="仿宋_GB2312" w:cs="仿宋_GB2312"/>
          <w:b w:val="0"/>
          <w:bCs w:val="0"/>
          <w:color w:val="000000" w:themeColor="text1"/>
          <w:sz w:val="32"/>
          <w:szCs w:val="32"/>
          <w:highlight w:val="none"/>
          <w:lang w:val="en-US"/>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第十</w:t>
      </w:r>
      <w:r>
        <w:rPr>
          <w:rFonts w:hint="eastAsia" w:ascii="方正黑体_GBK" w:hAnsi="方正黑体_GBK" w:eastAsia="方正黑体_GBK" w:cs="方正黑体_GBK"/>
          <w:b w:val="0"/>
          <w:bCs w:val="0"/>
          <w:color w:val="000000" w:themeColor="text1"/>
          <w:sz w:val="32"/>
          <w:szCs w:val="32"/>
          <w:highlight w:val="none"/>
          <w:lang w:eastAsia="zh-CN"/>
          <w14:textFill>
            <w14:solidFill>
              <w14:schemeClr w14:val="tx1"/>
            </w14:solidFill>
          </w14:textFill>
        </w:rPr>
        <w:t>八</w:t>
      </w: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 xml:space="preserve">条 </w:t>
      </w:r>
      <w:r>
        <w:rPr>
          <w:rFonts w:hint="eastAsia" w:eastAsia="仿宋_GB2312"/>
          <w:b w:val="0"/>
          <w:bCs w:val="0"/>
          <w:color w:val="000000" w:themeColor="text1"/>
          <w:sz w:val="32"/>
          <w:szCs w:val="32"/>
          <w:highlight w:val="none"/>
          <w14:textFill>
            <w14:solidFill>
              <w14:schemeClr w14:val="tx1"/>
            </w14:solidFill>
          </w14:textFill>
        </w:rPr>
        <w:t>当事人一方或多方无正当理由逾期未缴费或未按约定费用缴费的，本单位及其调解员有权中止调解服务；经催促后</w:t>
      </w:r>
      <w:r>
        <w:rPr>
          <w:rFonts w:eastAsia="仿宋_GB2312"/>
          <w:color w:val="000000" w:themeColor="text1"/>
          <w:sz w:val="32"/>
          <w:szCs w:val="32"/>
          <w:u w:val="single"/>
          <w14:textFill>
            <w14:solidFill>
              <w14:schemeClr w14:val="tx1"/>
            </w14:solidFill>
          </w14:textFill>
        </w:rPr>
        <w:t xml:space="preserve">   </w:t>
      </w:r>
      <w:r>
        <w:rPr>
          <w:rFonts w:hint="eastAsia" w:eastAsia="仿宋_GB2312"/>
          <w:b w:val="0"/>
          <w:bCs w:val="0"/>
          <w:color w:val="000000" w:themeColor="text1"/>
          <w:sz w:val="32"/>
          <w:szCs w:val="32"/>
          <w:highlight w:val="none"/>
          <w14:textFill>
            <w14:solidFill>
              <w14:schemeClr w14:val="tx1"/>
            </w14:solidFill>
          </w14:textFill>
        </w:rPr>
        <w:t>个工作日内仍不缴费的，视为放弃调解，本单位可以终止调解程序，双方按照调解收费协议的约定结算调解相关费用</w:t>
      </w:r>
      <w:r>
        <w:rPr>
          <w:rFonts w:eastAsia="仿宋_GB2312"/>
          <w:b w:val="0"/>
          <w:bCs w:val="0"/>
          <w:color w:val="000000" w:themeColor="text1"/>
          <w:sz w:val="32"/>
          <w:szCs w:val="32"/>
          <w:highlight w:val="none"/>
          <w14:textFill>
            <w14:solidFill>
              <w14:schemeClr w14:val="tx1"/>
            </w14:solidFill>
          </w14:textFill>
        </w:rPr>
        <w:t>。</w:t>
      </w:r>
    </w:p>
    <w:p>
      <w:pPr>
        <w:tabs>
          <w:tab w:val="left" w:pos="1120"/>
        </w:tabs>
        <w:snapToGrid w:val="0"/>
        <w:spacing w:line="560" w:lineRule="exact"/>
        <w:ind w:firstLine="640" w:firstLineChars="200"/>
        <w:rPr>
          <w:rFonts w:eastAsia="仿宋_GB2312"/>
          <w:b w:val="0"/>
          <w:bCs w:val="0"/>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第十</w:t>
      </w:r>
      <w:r>
        <w:rPr>
          <w:rFonts w:hint="eastAsia" w:ascii="方正黑体_GBK" w:hAnsi="方正黑体_GBK" w:eastAsia="方正黑体_GBK" w:cs="方正黑体_GBK"/>
          <w:b w:val="0"/>
          <w:bCs w:val="0"/>
          <w:color w:val="000000" w:themeColor="text1"/>
          <w:sz w:val="32"/>
          <w:szCs w:val="32"/>
          <w:highlight w:val="none"/>
          <w:lang w:eastAsia="zh-CN"/>
          <w14:textFill>
            <w14:solidFill>
              <w14:schemeClr w14:val="tx1"/>
            </w14:solidFill>
          </w14:textFill>
        </w:rPr>
        <w:t>九</w:t>
      </w: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 xml:space="preserve">条 </w:t>
      </w:r>
      <w:r>
        <w:rPr>
          <w:rFonts w:hint="eastAsia" w:eastAsia="仿宋_GB2312"/>
          <w:b w:val="0"/>
          <w:bCs w:val="0"/>
          <w:color w:val="000000" w:themeColor="text1"/>
          <w:sz w:val="32"/>
          <w:szCs w:val="32"/>
          <w:highlight w:val="none"/>
          <w14:textFill>
            <w14:solidFill>
              <w14:schemeClr w14:val="tx1"/>
            </w14:solidFill>
          </w14:textFill>
        </w:rPr>
        <w:t>单方申请的调解，经本单位与当事人协商确定后，本单位及调解员为促进双方调解展开了实质性调解工作的，可以参照本</w:t>
      </w:r>
      <w:r>
        <w:rPr>
          <w:rFonts w:hint="eastAsia" w:eastAsia="仿宋_GB2312"/>
          <w:b w:val="0"/>
          <w:bCs w:val="0"/>
          <w:color w:val="000000" w:themeColor="text1"/>
          <w:sz w:val="32"/>
          <w:szCs w:val="32"/>
          <w:highlight w:val="none"/>
          <w:lang w:eastAsia="zh-CN"/>
          <w14:textFill>
            <w14:solidFill>
              <w14:schemeClr w14:val="tx1"/>
            </w14:solidFill>
          </w14:textFill>
        </w:rPr>
        <w:t>标准</w:t>
      </w:r>
      <w:r>
        <w:rPr>
          <w:rFonts w:hint="eastAsia" w:eastAsia="仿宋_GB2312"/>
          <w:b w:val="0"/>
          <w:bCs w:val="0"/>
          <w:color w:val="000000" w:themeColor="text1"/>
          <w:sz w:val="32"/>
          <w:szCs w:val="32"/>
          <w:highlight w:val="none"/>
          <w14:textFill>
            <w14:solidFill>
              <w14:schemeClr w14:val="tx1"/>
            </w14:solidFill>
          </w14:textFill>
        </w:rPr>
        <w:t>第五条规定收取相应的调解费用</w:t>
      </w:r>
      <w:r>
        <w:rPr>
          <w:rFonts w:eastAsia="仿宋_GB2312"/>
          <w:b w:val="0"/>
          <w:bCs w:val="0"/>
          <w:color w:val="000000" w:themeColor="text1"/>
          <w:sz w:val="32"/>
          <w:szCs w:val="32"/>
          <w:highlight w:val="none"/>
          <w14:textFill>
            <w14:solidFill>
              <w14:schemeClr w14:val="tx1"/>
            </w14:solidFill>
          </w14:textFill>
        </w:rPr>
        <w:t>。</w:t>
      </w:r>
    </w:p>
    <w:p>
      <w:pPr>
        <w:tabs>
          <w:tab w:val="left" w:pos="1120"/>
        </w:tabs>
        <w:snapToGrid w:val="0"/>
        <w:spacing w:line="560" w:lineRule="exact"/>
        <w:ind w:firstLine="640" w:firstLineChars="200"/>
        <w:rPr>
          <w:rFonts w:hint="eastAsia" w:eastAsia="仿宋_GB2312" w:cs="Times New Roman"/>
          <w:b w:val="0"/>
          <w:bCs w:val="0"/>
          <w:color w:val="000000" w:themeColor="text1"/>
          <w:sz w:val="32"/>
          <w:szCs w:val="32"/>
          <w:highlight w:val="none"/>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highlight w:val="none"/>
          <w:lang w:eastAsia="zh-CN"/>
          <w14:textFill>
            <w14:solidFill>
              <w14:schemeClr w14:val="tx1"/>
            </w14:solidFill>
          </w14:textFill>
        </w:rPr>
        <w:t>二十</w:t>
      </w: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条</w:t>
      </w:r>
      <w:r>
        <w:rPr>
          <w:rFonts w:hint="eastAsia" w:ascii="方正黑体_GBK" w:hAnsi="方正黑体_GBK" w:eastAsia="方正黑体_GBK" w:cs="方正黑体_GBK"/>
          <w:b w:val="0"/>
          <w:bCs w:val="0"/>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人民法院委托调解的案件、仲裁机构移送调解的案件，收费标准应按照人民法院、仲裁机构的相关规定执行；其他争议解决机构商请本单位协助、联合调解的案件，按双方的约定办理，没有约定的，适用本</w:t>
      </w:r>
      <w:r>
        <w:rPr>
          <w:rFonts w:hint="eastAsia" w:eastAsia="仿宋_GB2312" w:cs="Times New Roman"/>
          <w:b w:val="0"/>
          <w:bCs w:val="0"/>
          <w:color w:val="000000" w:themeColor="text1"/>
          <w:sz w:val="32"/>
          <w:szCs w:val="32"/>
          <w:highlight w:val="none"/>
          <w:lang w:eastAsia="zh-CN"/>
          <w14:textFill>
            <w14:solidFill>
              <w14:schemeClr w14:val="tx1"/>
            </w14:solidFill>
          </w14:textFill>
        </w:rPr>
        <w:t>标准。</w:t>
      </w:r>
      <w:r>
        <w:rPr>
          <w:rFonts w:hint="eastAsia" w:eastAsia="仿宋_GB2312" w:cs="Times New Roman"/>
          <w:b w:val="0"/>
          <w:bCs w:val="0"/>
          <w:color w:val="000000" w:themeColor="text1"/>
          <w:sz w:val="32"/>
          <w:szCs w:val="32"/>
          <w:highlight w:val="none"/>
          <w:lang w:val="en-US" w:eastAsia="zh-CN"/>
          <w14:textFill>
            <w14:solidFill>
              <w14:schemeClr w14:val="tx1"/>
            </w14:solidFill>
          </w14:textFill>
        </w:rPr>
        <w:t xml:space="preserve">   </w:t>
      </w:r>
    </w:p>
    <w:p>
      <w:pPr>
        <w:tabs>
          <w:tab w:val="left" w:pos="0"/>
        </w:tabs>
        <w:snapToGrid w:val="0"/>
        <w:spacing w:line="560" w:lineRule="exact"/>
        <w:ind w:firstLine="640" w:firstLineChars="200"/>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highlight w:val="none"/>
          <w:lang w:eastAsia="zh-CN"/>
          <w14:textFill>
            <w14:solidFill>
              <w14:schemeClr w14:val="tx1"/>
            </w14:solidFill>
          </w14:textFill>
        </w:rPr>
        <w:t>二十一</w:t>
      </w: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 xml:space="preserve">条 </w:t>
      </w:r>
      <w:r>
        <w:rPr>
          <w:rFonts w:hint="eastAsia" w:ascii="方正黑体_GBK" w:hAnsi="方正黑体_GBK" w:eastAsia="方正黑体_GBK" w:cs="方正黑体_GBK"/>
          <w:b w:val="0"/>
          <w:bCs w:val="0"/>
          <w:color w:val="000000" w:themeColor="text1"/>
          <w:sz w:val="32"/>
          <w:szCs w:val="32"/>
          <w:highlight w:val="none"/>
          <w:lang w:eastAsia="zh-CN"/>
          <w14:textFill>
            <w14:solidFill>
              <w14:schemeClr w14:val="tx1"/>
            </w14:solidFill>
          </w14:textFill>
        </w:rPr>
        <w:t>其他情形</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调解程序终止后，调解员应当协助本单位在</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个工作日内完成收费结算。</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跨境及涉外案件的收费，需换算成人民币的，按本单位决定受理之日国家公布的汇率中间价换算计价。</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考虑到个案的独特性，本单位在收费方面保持充分的灵活性，对于不属于上述范围的情况，或者当事人有特殊要求和考虑</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，可与本单位协商讨论。</w:t>
      </w:r>
    </w:p>
    <w:p>
      <w:pPr>
        <w:numPr>
          <w:ilvl w:val="0"/>
          <w:numId w:val="5"/>
        </w:numPr>
        <w:tabs>
          <w:tab w:val="left" w:pos="0"/>
        </w:tabs>
        <w:snapToGrid w:val="0"/>
        <w:spacing w:line="560" w:lineRule="exact"/>
        <w:ind w:firstLine="611" w:firstLineChars="191"/>
        <w:jc w:val="both"/>
        <w:rPr>
          <w:rFonts w:hint="eastAsia" w:ascii="仿宋_GB2312" w:eastAsia="仿宋_GB2312"/>
          <w:b w:val="0"/>
          <w:bCs w:val="0"/>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本单位可根据业务开展需要及实际情况对收费项目、标准及减免政策进行调整，如有特殊费用减免或调整规定，以后续发布的通知、公告或补充规定为准。本单位关于收费信息的规定将及时通过</w:t>
      </w:r>
      <w:r>
        <w:rPr>
          <w:rFonts w:eastAsia="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的渠道及方式进行公开。</w:t>
      </w:r>
    </w:p>
    <w:p>
      <w:pPr>
        <w:numPr>
          <w:ilvl w:val="0"/>
          <w:numId w:val="5"/>
        </w:numPr>
        <w:tabs>
          <w:tab w:val="left" w:pos="0"/>
        </w:tabs>
        <w:snapToGrid w:val="0"/>
        <w:spacing w:line="560" w:lineRule="exact"/>
        <w:ind w:firstLine="611" w:firstLineChars="191"/>
        <w:jc w:val="both"/>
        <w:rPr>
          <w:rFonts w:hint="eastAsia" w:ascii="仿宋_GB2312" w:eastAsia="仿宋_GB2312"/>
          <w:b w:val="0"/>
          <w:bCs w:val="0"/>
          <w:color w:val="000000" w:themeColor="text1"/>
          <w:sz w:val="32"/>
          <w:szCs w:val="32"/>
          <w:lang w:eastAsia="zh-CN"/>
          <w14:textFill>
            <w14:solidFill>
              <w14:schemeClr w14:val="tx1"/>
            </w14:solidFill>
          </w14:textFill>
        </w:rPr>
      </w:pPr>
      <w:r>
        <w:rPr>
          <w:rFonts w:hint="eastAsia" w:eastAsia="仿宋_GB2312"/>
          <w:b w:val="0"/>
          <w:bCs w:val="0"/>
          <w:color w:val="000000" w:themeColor="text1"/>
          <w:sz w:val="32"/>
          <w:szCs w:val="32"/>
          <w:highlight w:val="none"/>
          <w14:textFill>
            <w14:solidFill>
              <w14:schemeClr w14:val="tx1"/>
            </w14:solidFill>
          </w14:textFill>
        </w:rPr>
        <w:t>收取的调解费用应当进入调解组织的法定对公账户，调解组织在收费结算后，应当向当事人出具正式发票。</w:t>
      </w:r>
    </w:p>
    <w:p>
      <w:pPr>
        <w:snapToGrid w:val="0"/>
        <w:spacing w:line="560" w:lineRule="exact"/>
        <w:ind w:firstLine="640" w:firstLineChars="200"/>
        <w:rPr>
          <w:rFonts w:hint="eastAsia" w:eastAsia="仿宋_GB2312"/>
          <w:b w:val="0"/>
          <w:bCs w:val="0"/>
          <w:color w:val="000000" w:themeColor="text1"/>
          <w:sz w:val="32"/>
          <w:szCs w:val="32"/>
          <w:highlight w:val="none"/>
          <w:lang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14:textFill>
            <w14:solidFill>
              <w14:schemeClr w14:val="tx1"/>
            </w14:solidFill>
          </w14:textFill>
        </w:rPr>
        <w:t>第</w:t>
      </w:r>
      <w:r>
        <w:rPr>
          <w:rFonts w:hint="eastAsia" w:ascii="黑体" w:hAnsi="黑体" w:eastAsia="黑体" w:cs="黑体"/>
          <w:b w:val="0"/>
          <w:bCs w:val="0"/>
          <w:color w:val="000000" w:themeColor="text1"/>
          <w:sz w:val="32"/>
          <w:szCs w:val="32"/>
          <w:highlight w:val="none"/>
          <w:lang w:eastAsia="zh-CN"/>
          <w14:textFill>
            <w14:solidFill>
              <w14:schemeClr w14:val="tx1"/>
            </w14:solidFill>
          </w14:textFill>
        </w:rPr>
        <w:t>二十二</w:t>
      </w:r>
      <w:r>
        <w:rPr>
          <w:rFonts w:hint="eastAsia" w:ascii="黑体" w:hAnsi="黑体" w:eastAsia="黑体" w:cs="黑体"/>
          <w:b w:val="0"/>
          <w:bCs w:val="0"/>
          <w:color w:val="000000" w:themeColor="text1"/>
          <w:sz w:val="32"/>
          <w:szCs w:val="32"/>
          <w:highlight w:val="none"/>
          <w14:textFill>
            <w14:solidFill>
              <w14:schemeClr w14:val="tx1"/>
            </w14:solidFill>
          </w14:textFill>
        </w:rPr>
        <w:t>条</w:t>
      </w:r>
      <w:r>
        <w:rPr>
          <w:rFonts w:eastAsia="仿宋_GB2312"/>
          <w:b w:val="0"/>
          <w:bCs w:val="0"/>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本标准的解释权归本单位所有，自本单位理事会审议通过后施行。</w:t>
      </w:r>
    </w:p>
    <w:p>
      <w:pPr>
        <w:tabs>
          <w:tab w:val="left" w:pos="0"/>
        </w:tabs>
        <w:snapToGrid w:val="0"/>
        <w:spacing w:line="560" w:lineRule="exact"/>
        <w:ind w:firstLine="420" w:firstLineChars="200"/>
        <w:rPr>
          <w:b w:val="0"/>
          <w:bCs w:val="0"/>
          <w:color w:val="000000" w:themeColor="text1"/>
          <w:highlight w:val="none"/>
          <w14:textFill>
            <w14:solidFill>
              <w14:schemeClr w14:val="tx1"/>
            </w14:solidFill>
          </w14:textFill>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康简标题宋">
    <w:panose1 w:val="02010509000101010101"/>
    <w:charset w:val="86"/>
    <w:family w:val="auto"/>
    <w:pitch w:val="default"/>
    <w:sig w:usb0="00000283" w:usb1="080F0C00" w:usb2="00000012" w:usb3="00000000" w:csb0="0016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C7E885"/>
    <w:multiLevelType w:val="singleLevel"/>
    <w:tmpl w:val="B7C7E885"/>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1">
    <w:nsid w:val="DB76AEF9"/>
    <w:multiLevelType w:val="singleLevel"/>
    <w:tmpl w:val="DB76AEF9"/>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2">
    <w:nsid w:val="E5FE7C3F"/>
    <w:multiLevelType w:val="singleLevel"/>
    <w:tmpl w:val="E5FE7C3F"/>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3">
    <w:nsid w:val="77DA2C9B"/>
    <w:multiLevelType w:val="singleLevel"/>
    <w:tmpl w:val="77DA2C9B"/>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4">
    <w:nsid w:val="7EDF9781"/>
    <w:multiLevelType w:val="singleLevel"/>
    <w:tmpl w:val="7EDF9781"/>
    <w:lvl w:ilvl="0" w:tentative="0">
      <w:start w:val="1"/>
      <w:numFmt w:val="chineseCounting"/>
      <w:suff w:val="nothing"/>
      <w:lvlText w:val="（%1）"/>
      <w:lvlJc w:val="left"/>
      <w:rPr>
        <w:rFonts w:hint="eastAsia" w:ascii="仿宋_GB2312" w:hAnsi="仿宋_GB2312" w:eastAsia="仿宋_GB2312" w:cs="仿宋_GB2312"/>
        <w:sz w:val="32"/>
        <w:szCs w:val="32"/>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6DEA26B"/>
    <w:rsid w:val="06DF6FB2"/>
    <w:rsid w:val="07FF1AF6"/>
    <w:rsid w:val="0DFEE6FD"/>
    <w:rsid w:val="1A964D26"/>
    <w:rsid w:val="1E97A768"/>
    <w:rsid w:val="1F9FF0E3"/>
    <w:rsid w:val="1FDF468C"/>
    <w:rsid w:val="1FFFFD78"/>
    <w:rsid w:val="273FCEB0"/>
    <w:rsid w:val="2BFDF091"/>
    <w:rsid w:val="2CBD7F27"/>
    <w:rsid w:val="2FE7BBAD"/>
    <w:rsid w:val="36BB6FE5"/>
    <w:rsid w:val="37A678CF"/>
    <w:rsid w:val="38DFF806"/>
    <w:rsid w:val="3B75D692"/>
    <w:rsid w:val="3B9B5A56"/>
    <w:rsid w:val="3BD38F65"/>
    <w:rsid w:val="3D4E265C"/>
    <w:rsid w:val="3EBCA5CE"/>
    <w:rsid w:val="3ED69B87"/>
    <w:rsid w:val="3EFB41BB"/>
    <w:rsid w:val="3EFED5B9"/>
    <w:rsid w:val="3F7D37E2"/>
    <w:rsid w:val="3FB1EF60"/>
    <w:rsid w:val="3FBB20E0"/>
    <w:rsid w:val="3FBF11E8"/>
    <w:rsid w:val="3FE7FDCC"/>
    <w:rsid w:val="3FFD3C21"/>
    <w:rsid w:val="46FF018D"/>
    <w:rsid w:val="47EF427B"/>
    <w:rsid w:val="4A1947CF"/>
    <w:rsid w:val="4B8E9D41"/>
    <w:rsid w:val="4D0365D5"/>
    <w:rsid w:val="4F3B7E52"/>
    <w:rsid w:val="4FFF95F2"/>
    <w:rsid w:val="53468FF3"/>
    <w:rsid w:val="556F8A18"/>
    <w:rsid w:val="56F96553"/>
    <w:rsid w:val="56FF1192"/>
    <w:rsid w:val="57FB4679"/>
    <w:rsid w:val="57FF7751"/>
    <w:rsid w:val="5BF7B49F"/>
    <w:rsid w:val="5BFF45A0"/>
    <w:rsid w:val="5C5A4260"/>
    <w:rsid w:val="5C707781"/>
    <w:rsid w:val="5CF91E42"/>
    <w:rsid w:val="5DF7E920"/>
    <w:rsid w:val="5DFF0F11"/>
    <w:rsid w:val="5E79DF4F"/>
    <w:rsid w:val="5F5E490F"/>
    <w:rsid w:val="5F5FA21F"/>
    <w:rsid w:val="5FBB948E"/>
    <w:rsid w:val="5FC5C05C"/>
    <w:rsid w:val="5FDD67AE"/>
    <w:rsid w:val="636F0CF3"/>
    <w:rsid w:val="63FB2F02"/>
    <w:rsid w:val="669F92F9"/>
    <w:rsid w:val="66F7F998"/>
    <w:rsid w:val="67716547"/>
    <w:rsid w:val="6B353CB8"/>
    <w:rsid w:val="6BEA6935"/>
    <w:rsid w:val="6CBF411F"/>
    <w:rsid w:val="6DB5FC2A"/>
    <w:rsid w:val="6DDAF5A1"/>
    <w:rsid w:val="6DE6EAF1"/>
    <w:rsid w:val="6DF795C4"/>
    <w:rsid w:val="6DFA7F9E"/>
    <w:rsid w:val="6E65A0B9"/>
    <w:rsid w:val="6F3D2AC9"/>
    <w:rsid w:val="6F76BCC2"/>
    <w:rsid w:val="6FCF0192"/>
    <w:rsid w:val="6FE9AB17"/>
    <w:rsid w:val="6FEFED8C"/>
    <w:rsid w:val="6FF9BA1C"/>
    <w:rsid w:val="6FFE4E26"/>
    <w:rsid w:val="6FFE5674"/>
    <w:rsid w:val="713BC2FA"/>
    <w:rsid w:val="717D4FBF"/>
    <w:rsid w:val="71EFA70D"/>
    <w:rsid w:val="71F3A1EA"/>
    <w:rsid w:val="72DBCB59"/>
    <w:rsid w:val="73BDB77F"/>
    <w:rsid w:val="74BEC6C5"/>
    <w:rsid w:val="75F34AD5"/>
    <w:rsid w:val="775F7A41"/>
    <w:rsid w:val="779F706B"/>
    <w:rsid w:val="779F9947"/>
    <w:rsid w:val="77AFD00B"/>
    <w:rsid w:val="77CD12F3"/>
    <w:rsid w:val="77EF5958"/>
    <w:rsid w:val="77FB5E82"/>
    <w:rsid w:val="797A51BA"/>
    <w:rsid w:val="79DE391D"/>
    <w:rsid w:val="79FD5D2C"/>
    <w:rsid w:val="79FDAAED"/>
    <w:rsid w:val="7ABD6EE2"/>
    <w:rsid w:val="7AF6112C"/>
    <w:rsid w:val="7AFD9447"/>
    <w:rsid w:val="7BDFBC6E"/>
    <w:rsid w:val="7BE70C57"/>
    <w:rsid w:val="7BF2CA9E"/>
    <w:rsid w:val="7BF67CEC"/>
    <w:rsid w:val="7BFF1B12"/>
    <w:rsid w:val="7CFB4206"/>
    <w:rsid w:val="7CFD3EDF"/>
    <w:rsid w:val="7CFDCFB1"/>
    <w:rsid w:val="7D8F8EFE"/>
    <w:rsid w:val="7DADA4AD"/>
    <w:rsid w:val="7DD63061"/>
    <w:rsid w:val="7DDE6F36"/>
    <w:rsid w:val="7DEEBF84"/>
    <w:rsid w:val="7E3B80FE"/>
    <w:rsid w:val="7E778183"/>
    <w:rsid w:val="7EBBA2D6"/>
    <w:rsid w:val="7EBF972F"/>
    <w:rsid w:val="7EEFA3BE"/>
    <w:rsid w:val="7EF59828"/>
    <w:rsid w:val="7EFCFADD"/>
    <w:rsid w:val="7EFE5579"/>
    <w:rsid w:val="7EFFB87E"/>
    <w:rsid w:val="7F1F20C0"/>
    <w:rsid w:val="7F262374"/>
    <w:rsid w:val="7F38D384"/>
    <w:rsid w:val="7F7350CE"/>
    <w:rsid w:val="7F73B244"/>
    <w:rsid w:val="7F77F976"/>
    <w:rsid w:val="7F939036"/>
    <w:rsid w:val="7FA3076A"/>
    <w:rsid w:val="7FBD8A17"/>
    <w:rsid w:val="7FBEC023"/>
    <w:rsid w:val="7FDC0482"/>
    <w:rsid w:val="7FDF4594"/>
    <w:rsid w:val="7FDFDA73"/>
    <w:rsid w:val="7FF15213"/>
    <w:rsid w:val="7FF91417"/>
    <w:rsid w:val="7FFF8099"/>
    <w:rsid w:val="7FFFA5D3"/>
    <w:rsid w:val="89F1388B"/>
    <w:rsid w:val="96BFFDC8"/>
    <w:rsid w:val="97DFE473"/>
    <w:rsid w:val="9B5FCA4C"/>
    <w:rsid w:val="9EAFAE87"/>
    <w:rsid w:val="9F63B170"/>
    <w:rsid w:val="9F7709CD"/>
    <w:rsid w:val="9F7EFE76"/>
    <w:rsid w:val="9FEF3F68"/>
    <w:rsid w:val="9FEF681A"/>
    <w:rsid w:val="9FF6B0CF"/>
    <w:rsid w:val="A7277198"/>
    <w:rsid w:val="ABD78130"/>
    <w:rsid w:val="ABE9C6D5"/>
    <w:rsid w:val="AF632627"/>
    <w:rsid w:val="AF6F75CC"/>
    <w:rsid w:val="AFF6D0CA"/>
    <w:rsid w:val="AFFB96AA"/>
    <w:rsid w:val="B04D71AD"/>
    <w:rsid w:val="B7AF20F6"/>
    <w:rsid w:val="B7B7D4FA"/>
    <w:rsid w:val="BACE5BDA"/>
    <w:rsid w:val="BAD7720B"/>
    <w:rsid w:val="BBF89A15"/>
    <w:rsid w:val="BCFE12AE"/>
    <w:rsid w:val="BD96DEAF"/>
    <w:rsid w:val="BDDBDC73"/>
    <w:rsid w:val="BDEBF1F8"/>
    <w:rsid w:val="BDFDBC4F"/>
    <w:rsid w:val="BE8FB409"/>
    <w:rsid w:val="BEEDA8AC"/>
    <w:rsid w:val="BEF50B44"/>
    <w:rsid w:val="BF170162"/>
    <w:rsid w:val="BFE30B7D"/>
    <w:rsid w:val="BFFBFD61"/>
    <w:rsid w:val="BFFF9D94"/>
    <w:rsid w:val="CDFFA3F6"/>
    <w:rsid w:val="CFDD99A0"/>
    <w:rsid w:val="D3C746D2"/>
    <w:rsid w:val="D6DD264C"/>
    <w:rsid w:val="D7EA47E2"/>
    <w:rsid w:val="DBAB4CBA"/>
    <w:rsid w:val="DCF3E6FE"/>
    <w:rsid w:val="DDDFD2F3"/>
    <w:rsid w:val="DEA7A345"/>
    <w:rsid w:val="DEFFFE1D"/>
    <w:rsid w:val="DF2BC418"/>
    <w:rsid w:val="DF3F3F02"/>
    <w:rsid w:val="DF955B7A"/>
    <w:rsid w:val="DFAE3533"/>
    <w:rsid w:val="DFEE3F06"/>
    <w:rsid w:val="DFEFA384"/>
    <w:rsid w:val="DFFFDD06"/>
    <w:rsid w:val="E3CFDAD9"/>
    <w:rsid w:val="E6EF360D"/>
    <w:rsid w:val="E7EF66CC"/>
    <w:rsid w:val="E9DD2BA4"/>
    <w:rsid w:val="EB641C79"/>
    <w:rsid w:val="EDDB7723"/>
    <w:rsid w:val="EEF5DD97"/>
    <w:rsid w:val="EFEFEF62"/>
    <w:rsid w:val="EFFDBC61"/>
    <w:rsid w:val="F37FF4EC"/>
    <w:rsid w:val="F4F2F3BE"/>
    <w:rsid w:val="F7B304D7"/>
    <w:rsid w:val="F7D978AE"/>
    <w:rsid w:val="F7F6C669"/>
    <w:rsid w:val="F8939ACD"/>
    <w:rsid w:val="F9AB050D"/>
    <w:rsid w:val="F9AB3988"/>
    <w:rsid w:val="FA7F541A"/>
    <w:rsid w:val="FAAFFB49"/>
    <w:rsid w:val="FAEB92CE"/>
    <w:rsid w:val="FB3E54FB"/>
    <w:rsid w:val="FB3ED4B1"/>
    <w:rsid w:val="FBBF7883"/>
    <w:rsid w:val="FBE31A97"/>
    <w:rsid w:val="FBEF4883"/>
    <w:rsid w:val="FBFE4FAD"/>
    <w:rsid w:val="FC46A4CF"/>
    <w:rsid w:val="FCDF6639"/>
    <w:rsid w:val="FD350CF3"/>
    <w:rsid w:val="FD770BD8"/>
    <w:rsid w:val="FD7EEF13"/>
    <w:rsid w:val="FDBB3A4F"/>
    <w:rsid w:val="FDD396DF"/>
    <w:rsid w:val="FDE7F01F"/>
    <w:rsid w:val="FDF66F0E"/>
    <w:rsid w:val="FDFF30D7"/>
    <w:rsid w:val="FDFFFF22"/>
    <w:rsid w:val="FEBDA4C4"/>
    <w:rsid w:val="FF5360FC"/>
    <w:rsid w:val="FF77E999"/>
    <w:rsid w:val="FF7D485D"/>
    <w:rsid w:val="FF9F41AD"/>
    <w:rsid w:val="FFB6894A"/>
    <w:rsid w:val="FFDF81AF"/>
    <w:rsid w:val="FFDFED39"/>
    <w:rsid w:val="FFE94939"/>
    <w:rsid w:val="FFEF4DC2"/>
    <w:rsid w:val="FFFB291E"/>
    <w:rsid w:val="FFFD2ED5"/>
    <w:rsid w:val="FFFE089F"/>
    <w:rsid w:val="FFFE76BA"/>
    <w:rsid w:val="FFFF1FB4"/>
    <w:rsid w:val="FFFF3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next w:val="1"/>
    <w:unhideWhenUsed/>
    <w:qFormat/>
    <w:uiPriority w:val="0"/>
    <w:pPr>
      <w:keepNext/>
      <w:keepLines/>
      <w:spacing w:line="560" w:lineRule="exact"/>
      <w:ind w:firstLine="894" w:firstLineChars="200"/>
      <w:outlineLvl w:val="0"/>
    </w:pPr>
    <w:rPr>
      <w:rFonts w:hint="eastAsia" w:ascii="黑体" w:hAnsi="黑体" w:eastAsia="黑体" w:cs="黑体"/>
      <w:kern w:val="44"/>
      <w:sz w:val="32"/>
      <w:szCs w:val="32"/>
    </w:rPr>
  </w:style>
  <w:style w:type="paragraph" w:styleId="4">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5">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next w:val="8"/>
    <w:unhideWhenUsed/>
    <w:qFormat/>
    <w:uiPriority w:val="99"/>
    <w:rPr>
      <w:sz w:val="30"/>
    </w:rPr>
  </w:style>
  <w:style w:type="paragraph" w:styleId="8">
    <w:name w:val="Title"/>
    <w:basedOn w:val="1"/>
    <w:next w:val="1"/>
    <w:qFormat/>
    <w:uiPriority w:val="10"/>
    <w:pPr>
      <w:spacing w:line="576" w:lineRule="exact"/>
      <w:jc w:val="center"/>
      <w:outlineLvl w:val="0"/>
    </w:pPr>
    <w:rPr>
      <w:rFonts w:ascii="Arial" w:hAnsi="Arial" w:eastAsia="方正小标宋_GBK" w:cs="方正小标宋_GBK"/>
      <w:sz w:val="44"/>
      <w:szCs w:val="36"/>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unhideWhenUsed/>
    <w:qFormat/>
    <w:uiPriority w:val="99"/>
    <w:pPr>
      <w:widowControl w:val="0"/>
      <w:spacing w:before="100" w:beforeAutospacing="1" w:after="100" w:afterAutospacing="1"/>
      <w:jc w:val="left"/>
    </w:pPr>
    <w:rPr>
      <w:rFonts w:ascii="Calibri" w:hAnsi="Calibri" w:eastAsia="宋体" w:cs="Times New Roman"/>
      <w:kern w:val="0"/>
      <w:sz w:val="24"/>
      <w:szCs w:val="24"/>
      <w:lang w:val="en-US" w:eastAsia="zh-CN" w:bidi="ar-SA"/>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正文文本首行缩进 21"/>
    <w:basedOn w:val="16"/>
    <w:qFormat/>
    <w:uiPriority w:val="0"/>
    <w:pPr>
      <w:spacing w:line="360" w:lineRule="auto"/>
    </w:pPr>
    <w:rPr>
      <w:sz w:val="24"/>
    </w:rPr>
  </w:style>
  <w:style w:type="paragraph" w:customStyle="1" w:styleId="16">
    <w:name w:val="正文文本缩进1"/>
    <w:basedOn w:val="1"/>
    <w:qFormat/>
    <w:uiPriority w:val="0"/>
    <w:pPr>
      <w:spacing w:line="150" w:lineRule="atLeast"/>
      <w:ind w:firstLine="420" w:firstLineChars="200"/>
      <w:textAlignment w:val="baseline"/>
    </w:pPr>
    <w:rPr>
      <w:rFonts w:ascii="Calibri" w:hAnsi="Calibri"/>
      <w:sz w:val="30"/>
    </w:rPr>
  </w:style>
  <w:style w:type="paragraph" w:customStyle="1" w:styleId="17">
    <w:name w:val="Body Text First Indent 21"/>
    <w:qFormat/>
    <w:uiPriority w:val="0"/>
    <w:pPr>
      <w:widowControl w:val="0"/>
      <w:spacing w:line="360" w:lineRule="auto"/>
      <w:ind w:firstLine="420" w:firstLineChars="200"/>
      <w:jc w:val="both"/>
      <w:textAlignment w:val="baseline"/>
    </w:pPr>
    <w:rPr>
      <w:rFonts w:ascii="Calibri" w:hAnsi="Calibri" w:eastAsia="宋体" w:cs="Times New Roman"/>
      <w:kern w:val="2"/>
      <w:sz w:val="24"/>
      <w:szCs w:val="24"/>
      <w:lang w:val="en-US" w:eastAsia="zh-CN" w:bidi="ar-SA"/>
    </w:rPr>
  </w:style>
  <w:style w:type="paragraph" w:customStyle="1" w:styleId="18">
    <w:name w:val="Body Text Indent1"/>
    <w:qFormat/>
    <w:uiPriority w:val="0"/>
    <w:pPr>
      <w:widowControl w:val="0"/>
      <w:spacing w:line="150" w:lineRule="atLeast"/>
      <w:ind w:firstLine="420" w:firstLineChars="200"/>
      <w:jc w:val="both"/>
      <w:textAlignment w:val="baseline"/>
    </w:pPr>
    <w:rPr>
      <w:rFonts w:ascii="Calibri" w:hAnsi="Calibri" w:eastAsia="宋体" w:cs="Times New Roman"/>
      <w:kern w:val="2"/>
      <w:sz w:val="30"/>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2018-07-23T07:11:00Z</dcterms:created>
  <dc:creator>d</dc:creator>
  <cp:lastModifiedBy>guest</cp:lastModifiedBy>
  <cp:lastPrinted>2026-07-07T17:10:00Z</cp:lastPrinted>
  <dcterms:modified xsi:type="dcterms:W3CDTF">2026-08-03T11:31:48Z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16294D6E66413166A40B706A0D373874</vt:lpwstr>
  </property>
</Properties>
</file>